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F37F9" w14:textId="7BABA919" w:rsidR="00331DDE" w:rsidRPr="00331DDE" w:rsidRDefault="00331DDE" w:rsidP="00331DDE">
      <w:pPr>
        <w:rPr>
          <w:rFonts w:eastAsia="Times New Roman" w:cstheme="minorHAnsi"/>
          <w:b/>
          <w:bCs/>
          <w:color w:val="222222"/>
        </w:rPr>
      </w:pPr>
      <w:r w:rsidRPr="00331DDE">
        <w:rPr>
          <w:rFonts w:eastAsia="Times New Roman" w:cstheme="minorHAnsi"/>
          <w:b/>
          <w:bCs/>
          <w:color w:val="222222"/>
        </w:rPr>
        <w:t>PBS Growth Hormone Program</w:t>
      </w:r>
    </w:p>
    <w:p w14:paraId="03833021" w14:textId="0E607AB2" w:rsidR="00331DDE" w:rsidRPr="00331DDE" w:rsidRDefault="00331DDE" w:rsidP="00331DDE">
      <w:pPr>
        <w:rPr>
          <w:rFonts w:eastAsia="Times New Roman" w:cstheme="minorHAnsi"/>
          <w:color w:val="222222"/>
        </w:rPr>
      </w:pPr>
      <w:r w:rsidRPr="00331DDE">
        <w:rPr>
          <w:rFonts w:eastAsia="Times New Roman" w:cstheme="minorHAnsi"/>
          <w:color w:val="222222"/>
        </w:rPr>
        <w:t>(information as of July 2019)</w:t>
      </w:r>
    </w:p>
    <w:p w14:paraId="2652D0DF" w14:textId="77777777" w:rsidR="00331DDE" w:rsidRDefault="00331DDE" w:rsidP="00331DDE">
      <w:pPr>
        <w:rPr>
          <w:rFonts w:eastAsia="Times New Roman" w:cstheme="minorHAnsi"/>
          <w:b/>
          <w:bCs/>
          <w:color w:val="222222"/>
          <w:sz w:val="28"/>
          <w:szCs w:val="28"/>
        </w:rPr>
      </w:pPr>
    </w:p>
    <w:p w14:paraId="22D71ACE" w14:textId="2002CBD8" w:rsidR="00331DDE" w:rsidRPr="00331DDE" w:rsidRDefault="00331DDE" w:rsidP="00331DDE">
      <w:pPr>
        <w:pBdr>
          <w:bottom w:val="single" w:sz="18" w:space="1" w:color="auto"/>
        </w:pBdr>
        <w:rPr>
          <w:rFonts w:eastAsia="Times New Roman" w:cstheme="minorHAnsi"/>
          <w:b/>
          <w:bCs/>
          <w:color w:val="222222"/>
          <w:sz w:val="28"/>
          <w:szCs w:val="28"/>
        </w:rPr>
      </w:pPr>
      <w:r w:rsidRPr="00331DDE">
        <w:rPr>
          <w:rFonts w:eastAsia="Times New Roman" w:cstheme="minorHAnsi"/>
          <w:b/>
          <w:bCs/>
          <w:color w:val="222222"/>
          <w:sz w:val="28"/>
          <w:szCs w:val="28"/>
        </w:rPr>
        <w:t>Table of Contents</w:t>
      </w:r>
    </w:p>
    <w:p w14:paraId="01C23653" w14:textId="77777777" w:rsidR="00331DDE" w:rsidRPr="00331DDE" w:rsidRDefault="00331DDE" w:rsidP="00331DDE">
      <w:pPr>
        <w:rPr>
          <w:rFonts w:eastAsia="Times New Roman" w:cstheme="minorHAnsi"/>
          <w:color w:val="222222"/>
          <w:sz w:val="20"/>
          <w:szCs w:val="20"/>
        </w:rPr>
      </w:pPr>
    </w:p>
    <w:p w14:paraId="5CA688E8" w14:textId="783238F3" w:rsidR="00331DDE" w:rsidRPr="00331DDE" w:rsidRDefault="00331DDE">
      <w:pPr>
        <w:pStyle w:val="TOC1"/>
        <w:tabs>
          <w:tab w:val="right" w:pos="9010"/>
        </w:tabs>
        <w:rPr>
          <w:rFonts w:asciiTheme="minorHAnsi" w:hAnsiTheme="minorHAnsi" w:cstheme="minorHAnsi"/>
          <w:b w:val="0"/>
          <w:bCs w:val="0"/>
          <w:caps w:val="0"/>
          <w:noProof/>
        </w:rPr>
      </w:pPr>
      <w:r w:rsidRPr="00331DDE">
        <w:rPr>
          <w:rFonts w:asciiTheme="minorHAnsi" w:eastAsia="Times New Roman" w:hAnsiTheme="minorHAnsi" w:cstheme="minorHAnsi"/>
          <w:color w:val="222222"/>
          <w:sz w:val="20"/>
          <w:szCs w:val="20"/>
        </w:rPr>
        <w:fldChar w:fldCharType="begin"/>
      </w:r>
      <w:r w:rsidRPr="00331DDE">
        <w:rPr>
          <w:rFonts w:asciiTheme="minorHAnsi" w:eastAsia="Times New Roman" w:hAnsiTheme="minorHAnsi" w:cstheme="minorHAnsi"/>
          <w:color w:val="222222"/>
          <w:sz w:val="20"/>
          <w:szCs w:val="20"/>
        </w:rPr>
        <w:instrText xml:space="preserve"> TOC \o "1-3" \h \z \u </w:instrText>
      </w:r>
      <w:r w:rsidRPr="00331DDE">
        <w:rPr>
          <w:rFonts w:asciiTheme="minorHAnsi" w:eastAsia="Times New Roman" w:hAnsiTheme="minorHAnsi" w:cstheme="minorHAnsi"/>
          <w:color w:val="222222"/>
          <w:sz w:val="20"/>
          <w:szCs w:val="20"/>
        </w:rPr>
        <w:fldChar w:fldCharType="separate"/>
      </w:r>
      <w:hyperlink w:anchor="_Toc13510359" w:history="1">
        <w:r w:rsidRPr="00331DDE">
          <w:rPr>
            <w:rStyle w:val="Hyperlink"/>
            <w:rFonts w:asciiTheme="minorHAnsi" w:hAnsiTheme="minorHAnsi" w:cstheme="minorHAnsi"/>
            <w:noProof/>
          </w:rPr>
          <w:t>Short stat</w:t>
        </w:r>
        <w:r w:rsidRPr="00331DDE">
          <w:rPr>
            <w:rStyle w:val="Hyperlink"/>
            <w:rFonts w:asciiTheme="minorHAnsi" w:hAnsiTheme="minorHAnsi" w:cstheme="minorHAnsi"/>
            <w:noProof/>
          </w:rPr>
          <w:t>u</w:t>
        </w:r>
        <w:r w:rsidRPr="00331DDE">
          <w:rPr>
            <w:rStyle w:val="Hyperlink"/>
            <w:rFonts w:asciiTheme="minorHAnsi" w:hAnsiTheme="minorHAnsi" w:cstheme="minorHAnsi"/>
            <w:noProof/>
          </w:rPr>
          <w:t>re and slow growth</w:t>
        </w:r>
        <w:r w:rsidRPr="00331DDE">
          <w:rPr>
            <w:rFonts w:asciiTheme="minorHAnsi" w:hAnsiTheme="minorHAnsi" w:cstheme="minorHAnsi"/>
            <w:noProof/>
            <w:webHidden/>
          </w:rPr>
          <w:tab/>
        </w:r>
        <w:r w:rsidRPr="00331DDE">
          <w:rPr>
            <w:rFonts w:asciiTheme="minorHAnsi" w:hAnsiTheme="minorHAnsi" w:cstheme="minorHAnsi"/>
            <w:noProof/>
            <w:webHidden/>
          </w:rPr>
          <w:fldChar w:fldCharType="begin"/>
        </w:r>
        <w:r w:rsidRPr="00331DDE">
          <w:rPr>
            <w:rFonts w:asciiTheme="minorHAnsi" w:hAnsiTheme="minorHAnsi" w:cstheme="minorHAnsi"/>
            <w:noProof/>
            <w:webHidden/>
          </w:rPr>
          <w:instrText xml:space="preserve"> PAGEREF _Toc13510359 \h </w:instrText>
        </w:r>
        <w:r w:rsidRPr="00331DDE">
          <w:rPr>
            <w:rFonts w:asciiTheme="minorHAnsi" w:hAnsiTheme="minorHAnsi" w:cstheme="minorHAnsi"/>
            <w:noProof/>
            <w:webHidden/>
          </w:rPr>
        </w:r>
        <w:r w:rsidRPr="00331DDE">
          <w:rPr>
            <w:rFonts w:asciiTheme="minorHAnsi" w:hAnsiTheme="minorHAnsi" w:cstheme="minorHAnsi"/>
            <w:noProof/>
            <w:webHidden/>
          </w:rPr>
          <w:fldChar w:fldCharType="separate"/>
        </w:r>
        <w:r w:rsidRPr="00331DDE">
          <w:rPr>
            <w:rFonts w:asciiTheme="minorHAnsi" w:hAnsiTheme="minorHAnsi" w:cstheme="minorHAnsi"/>
            <w:noProof/>
            <w:webHidden/>
          </w:rPr>
          <w:t>2</w:t>
        </w:r>
        <w:r w:rsidRPr="00331DDE">
          <w:rPr>
            <w:rFonts w:asciiTheme="minorHAnsi" w:hAnsiTheme="minorHAnsi" w:cstheme="minorHAnsi"/>
            <w:noProof/>
            <w:webHidden/>
          </w:rPr>
          <w:fldChar w:fldCharType="end"/>
        </w:r>
      </w:hyperlink>
    </w:p>
    <w:p w14:paraId="7BDF1374" w14:textId="3552FE7D" w:rsidR="00331DDE" w:rsidRPr="00331DDE" w:rsidRDefault="00331DDE">
      <w:pPr>
        <w:pStyle w:val="TOC1"/>
        <w:tabs>
          <w:tab w:val="right" w:pos="9010"/>
        </w:tabs>
        <w:rPr>
          <w:rFonts w:asciiTheme="minorHAnsi" w:hAnsiTheme="minorHAnsi" w:cstheme="minorHAnsi"/>
          <w:b w:val="0"/>
          <w:bCs w:val="0"/>
          <w:caps w:val="0"/>
          <w:noProof/>
        </w:rPr>
      </w:pPr>
      <w:hyperlink w:anchor="_Toc13510360" w:history="1">
        <w:r w:rsidRPr="00331DDE">
          <w:rPr>
            <w:rStyle w:val="Hyperlink"/>
            <w:rFonts w:asciiTheme="minorHAnsi" w:hAnsiTheme="minorHAnsi" w:cstheme="minorHAnsi"/>
            <w:noProof/>
          </w:rPr>
          <w:t>Short stature associated with biochemical growth hormone deficiency</w:t>
        </w:r>
        <w:r w:rsidRPr="00331DDE">
          <w:rPr>
            <w:rFonts w:asciiTheme="minorHAnsi" w:hAnsiTheme="minorHAnsi" w:cstheme="minorHAnsi"/>
            <w:noProof/>
            <w:webHidden/>
          </w:rPr>
          <w:tab/>
        </w:r>
        <w:r w:rsidRPr="00331DDE">
          <w:rPr>
            <w:rFonts w:asciiTheme="minorHAnsi" w:hAnsiTheme="minorHAnsi" w:cstheme="minorHAnsi"/>
            <w:noProof/>
            <w:webHidden/>
          </w:rPr>
          <w:fldChar w:fldCharType="begin"/>
        </w:r>
        <w:r w:rsidRPr="00331DDE">
          <w:rPr>
            <w:rFonts w:asciiTheme="minorHAnsi" w:hAnsiTheme="minorHAnsi" w:cstheme="minorHAnsi"/>
            <w:noProof/>
            <w:webHidden/>
          </w:rPr>
          <w:instrText xml:space="preserve"> PAGEREF _Toc13510360 \h </w:instrText>
        </w:r>
        <w:r w:rsidRPr="00331DDE">
          <w:rPr>
            <w:rFonts w:asciiTheme="minorHAnsi" w:hAnsiTheme="minorHAnsi" w:cstheme="minorHAnsi"/>
            <w:noProof/>
            <w:webHidden/>
          </w:rPr>
        </w:r>
        <w:r w:rsidRPr="00331DDE">
          <w:rPr>
            <w:rFonts w:asciiTheme="minorHAnsi" w:hAnsiTheme="minorHAnsi" w:cstheme="minorHAnsi"/>
            <w:noProof/>
            <w:webHidden/>
          </w:rPr>
          <w:fldChar w:fldCharType="separate"/>
        </w:r>
        <w:r w:rsidRPr="00331DDE">
          <w:rPr>
            <w:rFonts w:asciiTheme="minorHAnsi" w:hAnsiTheme="minorHAnsi" w:cstheme="minorHAnsi"/>
            <w:noProof/>
            <w:webHidden/>
          </w:rPr>
          <w:t>4</w:t>
        </w:r>
        <w:r w:rsidRPr="00331DDE">
          <w:rPr>
            <w:rFonts w:asciiTheme="minorHAnsi" w:hAnsiTheme="minorHAnsi" w:cstheme="minorHAnsi"/>
            <w:noProof/>
            <w:webHidden/>
          </w:rPr>
          <w:fldChar w:fldCharType="end"/>
        </w:r>
      </w:hyperlink>
    </w:p>
    <w:p w14:paraId="37FA4DEA" w14:textId="21054F41" w:rsidR="00331DDE" w:rsidRPr="00331DDE" w:rsidRDefault="00331DDE">
      <w:pPr>
        <w:pStyle w:val="TOC1"/>
        <w:tabs>
          <w:tab w:val="right" w:pos="9010"/>
        </w:tabs>
        <w:rPr>
          <w:rFonts w:asciiTheme="minorHAnsi" w:hAnsiTheme="minorHAnsi" w:cstheme="minorHAnsi"/>
          <w:b w:val="0"/>
          <w:bCs w:val="0"/>
          <w:caps w:val="0"/>
          <w:noProof/>
        </w:rPr>
      </w:pPr>
      <w:hyperlink w:anchor="_Toc13510361" w:history="1">
        <w:r w:rsidRPr="00331DDE">
          <w:rPr>
            <w:rStyle w:val="Hyperlink"/>
            <w:rFonts w:asciiTheme="minorHAnsi" w:hAnsiTheme="minorHAnsi" w:cstheme="minorHAnsi"/>
            <w:noProof/>
          </w:rPr>
          <w:t>Growth retardation secondary to an intracranial lesion, or cranial irradiation</w:t>
        </w:r>
        <w:r w:rsidRPr="00331DDE">
          <w:rPr>
            <w:rFonts w:asciiTheme="minorHAnsi" w:hAnsiTheme="minorHAnsi" w:cstheme="minorHAnsi"/>
            <w:noProof/>
            <w:webHidden/>
          </w:rPr>
          <w:tab/>
        </w:r>
        <w:r w:rsidRPr="00331DDE">
          <w:rPr>
            <w:rFonts w:asciiTheme="minorHAnsi" w:hAnsiTheme="minorHAnsi" w:cstheme="minorHAnsi"/>
            <w:noProof/>
            <w:webHidden/>
          </w:rPr>
          <w:fldChar w:fldCharType="begin"/>
        </w:r>
        <w:r w:rsidRPr="00331DDE">
          <w:rPr>
            <w:rFonts w:asciiTheme="minorHAnsi" w:hAnsiTheme="minorHAnsi" w:cstheme="minorHAnsi"/>
            <w:noProof/>
            <w:webHidden/>
          </w:rPr>
          <w:instrText xml:space="preserve"> PAGEREF _Toc13510361 \h </w:instrText>
        </w:r>
        <w:r w:rsidRPr="00331DDE">
          <w:rPr>
            <w:rFonts w:asciiTheme="minorHAnsi" w:hAnsiTheme="minorHAnsi" w:cstheme="minorHAnsi"/>
            <w:noProof/>
            <w:webHidden/>
          </w:rPr>
        </w:r>
        <w:r w:rsidRPr="00331DDE">
          <w:rPr>
            <w:rFonts w:asciiTheme="minorHAnsi" w:hAnsiTheme="minorHAnsi" w:cstheme="minorHAnsi"/>
            <w:noProof/>
            <w:webHidden/>
          </w:rPr>
          <w:fldChar w:fldCharType="separate"/>
        </w:r>
        <w:r w:rsidRPr="00331DDE">
          <w:rPr>
            <w:rFonts w:asciiTheme="minorHAnsi" w:hAnsiTheme="minorHAnsi" w:cstheme="minorHAnsi"/>
            <w:noProof/>
            <w:webHidden/>
          </w:rPr>
          <w:t>6</w:t>
        </w:r>
        <w:r w:rsidRPr="00331DDE">
          <w:rPr>
            <w:rFonts w:asciiTheme="minorHAnsi" w:hAnsiTheme="minorHAnsi" w:cstheme="minorHAnsi"/>
            <w:noProof/>
            <w:webHidden/>
          </w:rPr>
          <w:fldChar w:fldCharType="end"/>
        </w:r>
      </w:hyperlink>
    </w:p>
    <w:p w14:paraId="188BDEC1" w14:textId="1A957E1C" w:rsidR="00331DDE" w:rsidRPr="00331DDE" w:rsidRDefault="00331DDE">
      <w:pPr>
        <w:pStyle w:val="TOC1"/>
        <w:tabs>
          <w:tab w:val="right" w:pos="9010"/>
        </w:tabs>
        <w:rPr>
          <w:rFonts w:asciiTheme="minorHAnsi" w:hAnsiTheme="minorHAnsi" w:cstheme="minorHAnsi"/>
          <w:b w:val="0"/>
          <w:bCs w:val="0"/>
          <w:caps w:val="0"/>
          <w:noProof/>
        </w:rPr>
      </w:pPr>
      <w:hyperlink w:anchor="_Toc13510362" w:history="1">
        <w:r w:rsidRPr="00331DDE">
          <w:rPr>
            <w:rStyle w:val="Hyperlink"/>
            <w:rFonts w:asciiTheme="minorHAnsi" w:hAnsiTheme="minorHAnsi" w:cstheme="minorHAnsi"/>
            <w:noProof/>
          </w:rPr>
          <w:t>Risk of hypoglycaemia secondary to growth hormone deficiency in neonates/infants</w:t>
        </w:r>
        <w:r w:rsidRPr="00331DDE">
          <w:rPr>
            <w:rFonts w:asciiTheme="minorHAnsi" w:hAnsiTheme="minorHAnsi" w:cstheme="minorHAnsi"/>
            <w:noProof/>
            <w:webHidden/>
          </w:rPr>
          <w:tab/>
        </w:r>
        <w:r w:rsidRPr="00331DDE">
          <w:rPr>
            <w:rFonts w:asciiTheme="minorHAnsi" w:hAnsiTheme="minorHAnsi" w:cstheme="minorHAnsi"/>
            <w:noProof/>
            <w:webHidden/>
          </w:rPr>
          <w:fldChar w:fldCharType="begin"/>
        </w:r>
        <w:r w:rsidRPr="00331DDE">
          <w:rPr>
            <w:rFonts w:asciiTheme="minorHAnsi" w:hAnsiTheme="minorHAnsi" w:cstheme="minorHAnsi"/>
            <w:noProof/>
            <w:webHidden/>
          </w:rPr>
          <w:instrText xml:space="preserve"> PAGEREF _Toc13510362 \h </w:instrText>
        </w:r>
        <w:r w:rsidRPr="00331DDE">
          <w:rPr>
            <w:rFonts w:asciiTheme="minorHAnsi" w:hAnsiTheme="minorHAnsi" w:cstheme="minorHAnsi"/>
            <w:noProof/>
            <w:webHidden/>
          </w:rPr>
        </w:r>
        <w:r w:rsidRPr="00331DDE">
          <w:rPr>
            <w:rFonts w:asciiTheme="minorHAnsi" w:hAnsiTheme="minorHAnsi" w:cstheme="minorHAnsi"/>
            <w:noProof/>
            <w:webHidden/>
          </w:rPr>
          <w:fldChar w:fldCharType="separate"/>
        </w:r>
        <w:r w:rsidRPr="00331DDE">
          <w:rPr>
            <w:rFonts w:asciiTheme="minorHAnsi" w:hAnsiTheme="minorHAnsi" w:cstheme="minorHAnsi"/>
            <w:noProof/>
            <w:webHidden/>
          </w:rPr>
          <w:t>8</w:t>
        </w:r>
        <w:r w:rsidRPr="00331DDE">
          <w:rPr>
            <w:rFonts w:asciiTheme="minorHAnsi" w:hAnsiTheme="minorHAnsi" w:cstheme="minorHAnsi"/>
            <w:noProof/>
            <w:webHidden/>
          </w:rPr>
          <w:fldChar w:fldCharType="end"/>
        </w:r>
      </w:hyperlink>
    </w:p>
    <w:p w14:paraId="48ED564C" w14:textId="648D7519" w:rsidR="00331DDE" w:rsidRPr="00331DDE" w:rsidRDefault="00331DDE">
      <w:pPr>
        <w:pStyle w:val="TOC1"/>
        <w:tabs>
          <w:tab w:val="right" w:pos="9010"/>
        </w:tabs>
        <w:rPr>
          <w:rFonts w:asciiTheme="minorHAnsi" w:hAnsiTheme="minorHAnsi" w:cstheme="minorHAnsi"/>
          <w:b w:val="0"/>
          <w:bCs w:val="0"/>
          <w:caps w:val="0"/>
          <w:noProof/>
        </w:rPr>
      </w:pPr>
      <w:hyperlink w:anchor="_Toc13510363" w:history="1">
        <w:r w:rsidRPr="00331DDE">
          <w:rPr>
            <w:rStyle w:val="Hyperlink"/>
            <w:rFonts w:asciiTheme="minorHAnsi" w:hAnsiTheme="minorHAnsi" w:cstheme="minorHAnsi"/>
            <w:noProof/>
          </w:rPr>
          <w:t>Biochemical growth hormone deficiency and precocious puberty</w:t>
        </w:r>
        <w:r w:rsidRPr="00331DDE">
          <w:rPr>
            <w:rFonts w:asciiTheme="minorHAnsi" w:hAnsiTheme="minorHAnsi" w:cstheme="minorHAnsi"/>
            <w:noProof/>
            <w:webHidden/>
          </w:rPr>
          <w:tab/>
        </w:r>
        <w:r w:rsidRPr="00331DDE">
          <w:rPr>
            <w:rFonts w:asciiTheme="minorHAnsi" w:hAnsiTheme="minorHAnsi" w:cstheme="minorHAnsi"/>
            <w:noProof/>
            <w:webHidden/>
          </w:rPr>
          <w:fldChar w:fldCharType="begin"/>
        </w:r>
        <w:r w:rsidRPr="00331DDE">
          <w:rPr>
            <w:rFonts w:asciiTheme="minorHAnsi" w:hAnsiTheme="minorHAnsi" w:cstheme="minorHAnsi"/>
            <w:noProof/>
            <w:webHidden/>
          </w:rPr>
          <w:instrText xml:space="preserve"> PAGEREF _Toc13510363 \h </w:instrText>
        </w:r>
        <w:r w:rsidRPr="00331DDE">
          <w:rPr>
            <w:rFonts w:asciiTheme="minorHAnsi" w:hAnsiTheme="minorHAnsi" w:cstheme="minorHAnsi"/>
            <w:noProof/>
            <w:webHidden/>
          </w:rPr>
        </w:r>
        <w:r w:rsidRPr="00331DDE">
          <w:rPr>
            <w:rFonts w:asciiTheme="minorHAnsi" w:hAnsiTheme="minorHAnsi" w:cstheme="minorHAnsi"/>
            <w:noProof/>
            <w:webHidden/>
          </w:rPr>
          <w:fldChar w:fldCharType="separate"/>
        </w:r>
        <w:r w:rsidRPr="00331DDE">
          <w:rPr>
            <w:rFonts w:asciiTheme="minorHAnsi" w:hAnsiTheme="minorHAnsi" w:cstheme="minorHAnsi"/>
            <w:noProof/>
            <w:webHidden/>
          </w:rPr>
          <w:t>9</w:t>
        </w:r>
        <w:r w:rsidRPr="00331DDE">
          <w:rPr>
            <w:rFonts w:asciiTheme="minorHAnsi" w:hAnsiTheme="minorHAnsi" w:cstheme="minorHAnsi"/>
            <w:noProof/>
            <w:webHidden/>
          </w:rPr>
          <w:fldChar w:fldCharType="end"/>
        </w:r>
      </w:hyperlink>
    </w:p>
    <w:p w14:paraId="541486B0" w14:textId="262F1034" w:rsidR="00331DDE" w:rsidRPr="00331DDE" w:rsidRDefault="00331DDE">
      <w:pPr>
        <w:pStyle w:val="TOC1"/>
        <w:tabs>
          <w:tab w:val="right" w:pos="9010"/>
        </w:tabs>
        <w:rPr>
          <w:rFonts w:asciiTheme="minorHAnsi" w:hAnsiTheme="minorHAnsi" w:cstheme="minorHAnsi"/>
          <w:b w:val="0"/>
          <w:bCs w:val="0"/>
          <w:caps w:val="0"/>
          <w:noProof/>
        </w:rPr>
      </w:pPr>
      <w:hyperlink w:anchor="_Toc13510364" w:history="1">
        <w:r w:rsidRPr="00331DDE">
          <w:rPr>
            <w:rStyle w:val="Hyperlink"/>
            <w:rFonts w:asciiTheme="minorHAnsi" w:hAnsiTheme="minorHAnsi" w:cstheme="minorHAnsi"/>
            <w:noProof/>
          </w:rPr>
          <w:t>Hypothalamic-pituitary disease secondary to a structural lesion, with hypothalamic obesity driven growth</w:t>
        </w:r>
        <w:r w:rsidRPr="00331DDE">
          <w:rPr>
            <w:rFonts w:asciiTheme="minorHAnsi" w:hAnsiTheme="minorHAnsi" w:cstheme="minorHAnsi"/>
            <w:noProof/>
            <w:webHidden/>
          </w:rPr>
          <w:tab/>
        </w:r>
        <w:r w:rsidRPr="00331DDE">
          <w:rPr>
            <w:rFonts w:asciiTheme="minorHAnsi" w:hAnsiTheme="minorHAnsi" w:cstheme="minorHAnsi"/>
            <w:noProof/>
            <w:webHidden/>
          </w:rPr>
          <w:fldChar w:fldCharType="begin"/>
        </w:r>
        <w:r w:rsidRPr="00331DDE">
          <w:rPr>
            <w:rFonts w:asciiTheme="minorHAnsi" w:hAnsiTheme="minorHAnsi" w:cstheme="minorHAnsi"/>
            <w:noProof/>
            <w:webHidden/>
          </w:rPr>
          <w:instrText xml:space="preserve"> PAGEREF _Toc13510364 \h </w:instrText>
        </w:r>
        <w:r w:rsidRPr="00331DDE">
          <w:rPr>
            <w:rFonts w:asciiTheme="minorHAnsi" w:hAnsiTheme="minorHAnsi" w:cstheme="minorHAnsi"/>
            <w:noProof/>
            <w:webHidden/>
          </w:rPr>
        </w:r>
        <w:r w:rsidRPr="00331DDE">
          <w:rPr>
            <w:rFonts w:asciiTheme="minorHAnsi" w:hAnsiTheme="minorHAnsi" w:cstheme="minorHAnsi"/>
            <w:noProof/>
            <w:webHidden/>
          </w:rPr>
          <w:fldChar w:fldCharType="separate"/>
        </w:r>
        <w:r w:rsidRPr="00331DDE">
          <w:rPr>
            <w:rFonts w:asciiTheme="minorHAnsi" w:hAnsiTheme="minorHAnsi" w:cstheme="minorHAnsi"/>
            <w:noProof/>
            <w:webHidden/>
          </w:rPr>
          <w:t>11</w:t>
        </w:r>
        <w:r w:rsidRPr="00331DDE">
          <w:rPr>
            <w:rFonts w:asciiTheme="minorHAnsi" w:hAnsiTheme="minorHAnsi" w:cstheme="minorHAnsi"/>
            <w:noProof/>
            <w:webHidden/>
          </w:rPr>
          <w:fldChar w:fldCharType="end"/>
        </w:r>
      </w:hyperlink>
    </w:p>
    <w:p w14:paraId="327FE90D" w14:textId="51EF318F" w:rsidR="00331DDE" w:rsidRPr="00331DDE" w:rsidRDefault="00331DDE">
      <w:pPr>
        <w:pStyle w:val="TOC1"/>
        <w:tabs>
          <w:tab w:val="right" w:pos="9010"/>
        </w:tabs>
        <w:rPr>
          <w:rFonts w:asciiTheme="minorHAnsi" w:hAnsiTheme="minorHAnsi" w:cstheme="minorHAnsi"/>
          <w:b w:val="0"/>
          <w:bCs w:val="0"/>
          <w:caps w:val="0"/>
          <w:noProof/>
        </w:rPr>
      </w:pPr>
      <w:hyperlink w:anchor="_Toc13510365" w:history="1">
        <w:r w:rsidRPr="00331DDE">
          <w:rPr>
            <w:rStyle w:val="Hyperlink"/>
            <w:rFonts w:asciiTheme="minorHAnsi" w:hAnsiTheme="minorHAnsi" w:cstheme="minorHAnsi"/>
            <w:noProof/>
          </w:rPr>
          <w:t>Short stature associated with Turner syndrome</w:t>
        </w:r>
        <w:r w:rsidRPr="00331DDE">
          <w:rPr>
            <w:rFonts w:asciiTheme="minorHAnsi" w:hAnsiTheme="minorHAnsi" w:cstheme="minorHAnsi"/>
            <w:noProof/>
            <w:webHidden/>
          </w:rPr>
          <w:tab/>
        </w:r>
        <w:r w:rsidRPr="00331DDE">
          <w:rPr>
            <w:rFonts w:asciiTheme="minorHAnsi" w:hAnsiTheme="minorHAnsi" w:cstheme="minorHAnsi"/>
            <w:noProof/>
            <w:webHidden/>
          </w:rPr>
          <w:fldChar w:fldCharType="begin"/>
        </w:r>
        <w:r w:rsidRPr="00331DDE">
          <w:rPr>
            <w:rFonts w:asciiTheme="minorHAnsi" w:hAnsiTheme="minorHAnsi" w:cstheme="minorHAnsi"/>
            <w:noProof/>
            <w:webHidden/>
          </w:rPr>
          <w:instrText xml:space="preserve"> PAGEREF _Toc13510365 \h </w:instrText>
        </w:r>
        <w:r w:rsidRPr="00331DDE">
          <w:rPr>
            <w:rFonts w:asciiTheme="minorHAnsi" w:hAnsiTheme="minorHAnsi" w:cstheme="minorHAnsi"/>
            <w:noProof/>
            <w:webHidden/>
          </w:rPr>
        </w:r>
        <w:r w:rsidRPr="00331DDE">
          <w:rPr>
            <w:rFonts w:asciiTheme="minorHAnsi" w:hAnsiTheme="minorHAnsi" w:cstheme="minorHAnsi"/>
            <w:noProof/>
            <w:webHidden/>
          </w:rPr>
          <w:fldChar w:fldCharType="separate"/>
        </w:r>
        <w:r w:rsidRPr="00331DDE">
          <w:rPr>
            <w:rFonts w:asciiTheme="minorHAnsi" w:hAnsiTheme="minorHAnsi" w:cstheme="minorHAnsi"/>
            <w:noProof/>
            <w:webHidden/>
          </w:rPr>
          <w:t>13</w:t>
        </w:r>
        <w:r w:rsidRPr="00331DDE">
          <w:rPr>
            <w:rFonts w:asciiTheme="minorHAnsi" w:hAnsiTheme="minorHAnsi" w:cstheme="minorHAnsi"/>
            <w:noProof/>
            <w:webHidden/>
          </w:rPr>
          <w:fldChar w:fldCharType="end"/>
        </w:r>
      </w:hyperlink>
    </w:p>
    <w:p w14:paraId="701C6CC3" w14:textId="38D2C730" w:rsidR="00331DDE" w:rsidRPr="00331DDE" w:rsidRDefault="00331DDE">
      <w:pPr>
        <w:pStyle w:val="TOC1"/>
        <w:tabs>
          <w:tab w:val="right" w:pos="9010"/>
        </w:tabs>
        <w:rPr>
          <w:rFonts w:asciiTheme="minorHAnsi" w:hAnsiTheme="minorHAnsi" w:cstheme="minorHAnsi"/>
          <w:b w:val="0"/>
          <w:bCs w:val="0"/>
          <w:caps w:val="0"/>
          <w:noProof/>
        </w:rPr>
      </w:pPr>
      <w:hyperlink w:anchor="_Toc13510366" w:history="1">
        <w:r w:rsidRPr="00331DDE">
          <w:rPr>
            <w:rStyle w:val="Hyperlink"/>
            <w:rFonts w:asciiTheme="minorHAnsi" w:hAnsiTheme="minorHAnsi" w:cstheme="minorHAnsi"/>
            <w:noProof/>
          </w:rPr>
          <w:t>Short stature due to short stature homeobox (SHOX) gene disorders</w:t>
        </w:r>
        <w:r w:rsidRPr="00331DDE">
          <w:rPr>
            <w:rFonts w:asciiTheme="minorHAnsi" w:hAnsiTheme="minorHAnsi" w:cstheme="minorHAnsi"/>
            <w:noProof/>
            <w:webHidden/>
          </w:rPr>
          <w:tab/>
        </w:r>
        <w:r w:rsidRPr="00331DDE">
          <w:rPr>
            <w:rFonts w:asciiTheme="minorHAnsi" w:hAnsiTheme="minorHAnsi" w:cstheme="minorHAnsi"/>
            <w:noProof/>
            <w:webHidden/>
          </w:rPr>
          <w:fldChar w:fldCharType="begin"/>
        </w:r>
        <w:r w:rsidRPr="00331DDE">
          <w:rPr>
            <w:rFonts w:asciiTheme="minorHAnsi" w:hAnsiTheme="minorHAnsi" w:cstheme="minorHAnsi"/>
            <w:noProof/>
            <w:webHidden/>
          </w:rPr>
          <w:instrText xml:space="preserve"> PAGEREF _Toc13510366 \h </w:instrText>
        </w:r>
        <w:r w:rsidRPr="00331DDE">
          <w:rPr>
            <w:rFonts w:asciiTheme="minorHAnsi" w:hAnsiTheme="minorHAnsi" w:cstheme="minorHAnsi"/>
            <w:noProof/>
            <w:webHidden/>
          </w:rPr>
        </w:r>
        <w:r w:rsidRPr="00331DDE">
          <w:rPr>
            <w:rFonts w:asciiTheme="minorHAnsi" w:hAnsiTheme="minorHAnsi" w:cstheme="minorHAnsi"/>
            <w:noProof/>
            <w:webHidden/>
          </w:rPr>
          <w:fldChar w:fldCharType="separate"/>
        </w:r>
        <w:r w:rsidRPr="00331DDE">
          <w:rPr>
            <w:rFonts w:asciiTheme="minorHAnsi" w:hAnsiTheme="minorHAnsi" w:cstheme="minorHAnsi"/>
            <w:noProof/>
            <w:webHidden/>
          </w:rPr>
          <w:t>15</w:t>
        </w:r>
        <w:r w:rsidRPr="00331DDE">
          <w:rPr>
            <w:rFonts w:asciiTheme="minorHAnsi" w:hAnsiTheme="minorHAnsi" w:cstheme="minorHAnsi"/>
            <w:noProof/>
            <w:webHidden/>
          </w:rPr>
          <w:fldChar w:fldCharType="end"/>
        </w:r>
      </w:hyperlink>
    </w:p>
    <w:p w14:paraId="0D857B44" w14:textId="71883281" w:rsidR="00331DDE" w:rsidRPr="00331DDE" w:rsidRDefault="00331DDE">
      <w:pPr>
        <w:pStyle w:val="TOC1"/>
        <w:tabs>
          <w:tab w:val="right" w:pos="9010"/>
        </w:tabs>
        <w:rPr>
          <w:rFonts w:asciiTheme="minorHAnsi" w:hAnsiTheme="minorHAnsi" w:cstheme="minorHAnsi"/>
          <w:b w:val="0"/>
          <w:bCs w:val="0"/>
          <w:caps w:val="0"/>
          <w:noProof/>
        </w:rPr>
      </w:pPr>
      <w:hyperlink w:anchor="_Toc13510367" w:history="1">
        <w:r w:rsidRPr="00331DDE">
          <w:rPr>
            <w:rStyle w:val="Hyperlink"/>
            <w:rFonts w:asciiTheme="minorHAnsi" w:hAnsiTheme="minorHAnsi" w:cstheme="minorHAnsi"/>
            <w:noProof/>
          </w:rPr>
          <w:t>Short stature associated with chronic renal insufficiency</w:t>
        </w:r>
        <w:r w:rsidRPr="00331DDE">
          <w:rPr>
            <w:rFonts w:asciiTheme="minorHAnsi" w:hAnsiTheme="minorHAnsi" w:cstheme="minorHAnsi"/>
            <w:noProof/>
            <w:webHidden/>
          </w:rPr>
          <w:tab/>
        </w:r>
        <w:r w:rsidRPr="00331DDE">
          <w:rPr>
            <w:rFonts w:asciiTheme="minorHAnsi" w:hAnsiTheme="minorHAnsi" w:cstheme="minorHAnsi"/>
            <w:noProof/>
            <w:webHidden/>
          </w:rPr>
          <w:fldChar w:fldCharType="begin"/>
        </w:r>
        <w:r w:rsidRPr="00331DDE">
          <w:rPr>
            <w:rFonts w:asciiTheme="minorHAnsi" w:hAnsiTheme="minorHAnsi" w:cstheme="minorHAnsi"/>
            <w:noProof/>
            <w:webHidden/>
          </w:rPr>
          <w:instrText xml:space="preserve"> PAGEREF _Toc13510367 \h </w:instrText>
        </w:r>
        <w:r w:rsidRPr="00331DDE">
          <w:rPr>
            <w:rFonts w:asciiTheme="minorHAnsi" w:hAnsiTheme="minorHAnsi" w:cstheme="minorHAnsi"/>
            <w:noProof/>
            <w:webHidden/>
          </w:rPr>
        </w:r>
        <w:r w:rsidRPr="00331DDE">
          <w:rPr>
            <w:rFonts w:asciiTheme="minorHAnsi" w:hAnsiTheme="minorHAnsi" w:cstheme="minorHAnsi"/>
            <w:noProof/>
            <w:webHidden/>
          </w:rPr>
          <w:fldChar w:fldCharType="separate"/>
        </w:r>
        <w:r w:rsidRPr="00331DDE">
          <w:rPr>
            <w:rFonts w:asciiTheme="minorHAnsi" w:hAnsiTheme="minorHAnsi" w:cstheme="minorHAnsi"/>
            <w:noProof/>
            <w:webHidden/>
          </w:rPr>
          <w:t>17</w:t>
        </w:r>
        <w:r w:rsidRPr="00331DDE">
          <w:rPr>
            <w:rFonts w:asciiTheme="minorHAnsi" w:hAnsiTheme="minorHAnsi" w:cstheme="minorHAnsi"/>
            <w:noProof/>
            <w:webHidden/>
          </w:rPr>
          <w:fldChar w:fldCharType="end"/>
        </w:r>
      </w:hyperlink>
    </w:p>
    <w:p w14:paraId="54D68E15" w14:textId="18FC3ED2" w:rsidR="00331DDE" w:rsidRPr="00331DDE" w:rsidRDefault="00331DDE">
      <w:pPr>
        <w:pStyle w:val="TOC1"/>
        <w:tabs>
          <w:tab w:val="right" w:pos="9010"/>
        </w:tabs>
        <w:rPr>
          <w:rFonts w:asciiTheme="minorHAnsi" w:hAnsiTheme="minorHAnsi" w:cstheme="minorHAnsi"/>
          <w:b w:val="0"/>
          <w:bCs w:val="0"/>
          <w:caps w:val="0"/>
          <w:noProof/>
        </w:rPr>
      </w:pPr>
      <w:hyperlink w:anchor="_Toc13510368" w:history="1">
        <w:r w:rsidRPr="00331DDE">
          <w:rPr>
            <w:rStyle w:val="Hyperlink"/>
            <w:rFonts w:asciiTheme="minorHAnsi" w:hAnsiTheme="minorHAnsi" w:cstheme="minorHAnsi"/>
            <w:noProof/>
          </w:rPr>
          <w:t>Short stature and poor body composition due to Prader-Willi syndrome</w:t>
        </w:r>
        <w:r w:rsidRPr="00331DDE">
          <w:rPr>
            <w:rFonts w:asciiTheme="minorHAnsi" w:hAnsiTheme="minorHAnsi" w:cstheme="minorHAnsi"/>
            <w:noProof/>
            <w:webHidden/>
          </w:rPr>
          <w:tab/>
        </w:r>
        <w:r w:rsidRPr="00331DDE">
          <w:rPr>
            <w:rFonts w:asciiTheme="minorHAnsi" w:hAnsiTheme="minorHAnsi" w:cstheme="minorHAnsi"/>
            <w:noProof/>
            <w:webHidden/>
          </w:rPr>
          <w:fldChar w:fldCharType="begin"/>
        </w:r>
        <w:r w:rsidRPr="00331DDE">
          <w:rPr>
            <w:rFonts w:asciiTheme="minorHAnsi" w:hAnsiTheme="minorHAnsi" w:cstheme="minorHAnsi"/>
            <w:noProof/>
            <w:webHidden/>
          </w:rPr>
          <w:instrText xml:space="preserve"> PAGEREF _Toc13510368 \h </w:instrText>
        </w:r>
        <w:r w:rsidRPr="00331DDE">
          <w:rPr>
            <w:rFonts w:asciiTheme="minorHAnsi" w:hAnsiTheme="minorHAnsi" w:cstheme="minorHAnsi"/>
            <w:noProof/>
            <w:webHidden/>
          </w:rPr>
        </w:r>
        <w:r w:rsidRPr="00331DDE">
          <w:rPr>
            <w:rFonts w:asciiTheme="minorHAnsi" w:hAnsiTheme="minorHAnsi" w:cstheme="minorHAnsi"/>
            <w:noProof/>
            <w:webHidden/>
          </w:rPr>
          <w:fldChar w:fldCharType="separate"/>
        </w:r>
        <w:r w:rsidRPr="00331DDE">
          <w:rPr>
            <w:rFonts w:asciiTheme="minorHAnsi" w:hAnsiTheme="minorHAnsi" w:cstheme="minorHAnsi"/>
            <w:noProof/>
            <w:webHidden/>
          </w:rPr>
          <w:t>19</w:t>
        </w:r>
        <w:r w:rsidRPr="00331DDE">
          <w:rPr>
            <w:rFonts w:asciiTheme="minorHAnsi" w:hAnsiTheme="minorHAnsi" w:cstheme="minorHAnsi"/>
            <w:noProof/>
            <w:webHidden/>
          </w:rPr>
          <w:fldChar w:fldCharType="end"/>
        </w:r>
      </w:hyperlink>
    </w:p>
    <w:p w14:paraId="2CEA2A6C" w14:textId="556740C3" w:rsidR="00331DDE" w:rsidRPr="00331DDE" w:rsidRDefault="00331DDE" w:rsidP="00331DDE">
      <w:pPr>
        <w:rPr>
          <w:rFonts w:eastAsia="Times New Roman" w:cstheme="minorHAnsi"/>
          <w:color w:val="222222"/>
          <w:sz w:val="20"/>
          <w:szCs w:val="20"/>
        </w:rPr>
      </w:pPr>
      <w:r w:rsidRPr="00331DDE">
        <w:rPr>
          <w:rFonts w:eastAsia="Times New Roman" w:cstheme="minorHAnsi"/>
          <w:color w:val="222222"/>
          <w:sz w:val="20"/>
          <w:szCs w:val="20"/>
        </w:rPr>
        <w:fldChar w:fldCharType="end"/>
      </w:r>
      <w:r w:rsidRPr="00331DDE">
        <w:rPr>
          <w:rFonts w:eastAsia="Times New Roman" w:cstheme="minorHAnsi"/>
          <w:color w:val="222222"/>
          <w:sz w:val="20"/>
          <w:szCs w:val="20"/>
        </w:rPr>
        <w:br w:type="page"/>
      </w:r>
    </w:p>
    <w:p w14:paraId="79587928" w14:textId="46B51B6E" w:rsidR="00331DDE" w:rsidRPr="00331DDE" w:rsidRDefault="00331DDE" w:rsidP="00331DDE">
      <w:pPr>
        <w:pStyle w:val="Heading1"/>
        <w:rPr>
          <w:rFonts w:asciiTheme="minorHAnsi" w:hAnsiTheme="minorHAnsi" w:cstheme="minorHAnsi"/>
        </w:rPr>
      </w:pPr>
      <w:bookmarkStart w:id="0" w:name="_Toc13510359"/>
      <w:r w:rsidRPr="00331DDE">
        <w:rPr>
          <w:rFonts w:asciiTheme="minorHAnsi" w:hAnsiTheme="minorHAnsi" w:cstheme="minorHAnsi"/>
        </w:rPr>
        <w:lastRenderedPageBreak/>
        <w:t>Short stature and slow growth</w:t>
      </w:r>
      <w:bookmarkEnd w:id="0"/>
    </w:p>
    <w:p w14:paraId="522CF070"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Treatment Phase: Initial treatment</w:t>
      </w:r>
    </w:p>
    <w:p w14:paraId="562C7BD9" w14:textId="77777777" w:rsidR="00331DDE" w:rsidRPr="00202826" w:rsidRDefault="00331DDE" w:rsidP="00331DDE">
      <w:pPr>
        <w:rPr>
          <w:rFonts w:eastAsia="Times New Roman" w:cstheme="minorHAnsi"/>
          <w:b/>
          <w:bCs/>
          <w:color w:val="222222"/>
          <w:sz w:val="22"/>
          <w:szCs w:val="22"/>
          <w:bdr w:val="none" w:sz="0" w:space="0" w:color="auto" w:frame="1"/>
        </w:rPr>
      </w:pPr>
    </w:p>
    <w:p w14:paraId="2110CABC" w14:textId="2B722CC6"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Clinical criteria:</w:t>
      </w:r>
    </w:p>
    <w:p w14:paraId="1C3E642B" w14:textId="77777777" w:rsidR="00331DDE" w:rsidRPr="00331DDE" w:rsidRDefault="00331DDE" w:rsidP="00331DDE">
      <w:pPr>
        <w:numPr>
          <w:ilvl w:val="0"/>
          <w:numId w:val="1"/>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have a current height at or below the 1</w:t>
      </w:r>
      <w:r w:rsidRPr="00331DDE">
        <w:rPr>
          <w:rFonts w:eastAsia="Times New Roman" w:cstheme="minorHAnsi"/>
          <w:color w:val="222222"/>
          <w:sz w:val="22"/>
          <w:szCs w:val="22"/>
          <w:bdr w:val="none" w:sz="0" w:space="0" w:color="auto" w:frame="1"/>
          <w:vertAlign w:val="superscript"/>
        </w:rPr>
        <w:t>st</w:t>
      </w:r>
      <w:r w:rsidRPr="00331DDE">
        <w:rPr>
          <w:rFonts w:eastAsia="Times New Roman" w:cstheme="minorHAnsi"/>
          <w:color w:val="222222"/>
          <w:sz w:val="22"/>
          <w:szCs w:val="22"/>
        </w:rPr>
        <w:t> percentile for age and sex,</w:t>
      </w:r>
    </w:p>
    <w:p w14:paraId="20957F3E"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223F3B27" w14:textId="77777777" w:rsidR="00331DDE" w:rsidRPr="00331DDE" w:rsidRDefault="00331DDE" w:rsidP="00331DDE">
      <w:pPr>
        <w:numPr>
          <w:ilvl w:val="0"/>
          <w:numId w:val="2"/>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have a growth velocity below the 25</w:t>
      </w:r>
      <w:r w:rsidRPr="00331DDE">
        <w:rPr>
          <w:rFonts w:eastAsia="Times New Roman" w:cstheme="minorHAnsi"/>
          <w:color w:val="222222"/>
          <w:sz w:val="22"/>
          <w:szCs w:val="22"/>
          <w:bdr w:val="none" w:sz="0" w:space="0" w:color="auto" w:frame="1"/>
          <w:vertAlign w:val="superscript"/>
        </w:rPr>
        <w:t>th</w:t>
      </w:r>
      <w:r w:rsidRPr="00331DDE">
        <w:rPr>
          <w:rFonts w:eastAsia="Times New Roman" w:cstheme="minorHAnsi"/>
          <w:color w:val="222222"/>
          <w:sz w:val="22"/>
          <w:szCs w:val="22"/>
        </w:rPr>
        <w:t> percentile for bone age and sex measured over a 12 month interval (or a 6 month interval for an older child),</w:t>
      </w:r>
    </w:p>
    <w:p w14:paraId="6ECD0189"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49C0D1B7" w14:textId="77777777" w:rsidR="00331DDE" w:rsidRPr="00331DDE" w:rsidRDefault="00331DDE" w:rsidP="00331DDE">
      <w:pPr>
        <w:numPr>
          <w:ilvl w:val="0"/>
          <w:numId w:val="3"/>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not have diabetes mellitus,</w:t>
      </w:r>
    </w:p>
    <w:p w14:paraId="053A3785"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25709B38" w14:textId="77777777" w:rsidR="00331DDE" w:rsidRPr="00331DDE" w:rsidRDefault="00331DDE" w:rsidP="00331DDE">
      <w:pPr>
        <w:numPr>
          <w:ilvl w:val="0"/>
          <w:numId w:val="4"/>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not have a condition with a known risk of malignancy including chromosomal abnormalities such as Down and Bloom syndromes,</w:t>
      </w:r>
    </w:p>
    <w:p w14:paraId="6BFF8C22"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45AFD78E" w14:textId="77777777" w:rsidR="00331DDE" w:rsidRPr="00331DDE" w:rsidRDefault="00331DDE" w:rsidP="00331DDE">
      <w:pPr>
        <w:numPr>
          <w:ilvl w:val="0"/>
          <w:numId w:val="5"/>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not have an active tumour or evidence of tumour growth or activity,</w:t>
      </w:r>
    </w:p>
    <w:p w14:paraId="05ED4F50"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7C0852AD" w14:textId="77777777" w:rsidR="00331DDE" w:rsidRPr="00331DDE" w:rsidRDefault="00331DDE" w:rsidP="00331DDE">
      <w:pPr>
        <w:numPr>
          <w:ilvl w:val="0"/>
          <w:numId w:val="6"/>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not have previously received treatment under the PBS S100 Growth Hormone Program,</w:t>
      </w:r>
    </w:p>
    <w:p w14:paraId="6658B3E7"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73FA84E6" w14:textId="77777777" w:rsidR="00331DDE" w:rsidRPr="00331DDE" w:rsidRDefault="00331DDE" w:rsidP="00331DDE">
      <w:pPr>
        <w:numPr>
          <w:ilvl w:val="0"/>
          <w:numId w:val="7"/>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not have a bone age of 2.5 years or less,</w:t>
      </w:r>
    </w:p>
    <w:p w14:paraId="6CC95F8B"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0463383C" w14:textId="77777777" w:rsidR="00331DDE" w:rsidRPr="00331DDE" w:rsidRDefault="00331DDE" w:rsidP="00331DDE">
      <w:pPr>
        <w:numPr>
          <w:ilvl w:val="0"/>
          <w:numId w:val="8"/>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be male and must not have a bone age of 15.5 years or more; OR</w:t>
      </w:r>
    </w:p>
    <w:p w14:paraId="6D70F617" w14:textId="77777777" w:rsidR="00331DDE" w:rsidRPr="00331DDE" w:rsidRDefault="00331DDE" w:rsidP="00331DDE">
      <w:pPr>
        <w:numPr>
          <w:ilvl w:val="0"/>
          <w:numId w:val="8"/>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be female and must not have a bone age of 13.5 years or more,</w:t>
      </w:r>
    </w:p>
    <w:p w14:paraId="219DB536"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3A3D9EFA" w14:textId="77777777" w:rsidR="00331DDE" w:rsidRPr="00331DDE" w:rsidRDefault="00331DDE" w:rsidP="00331DDE">
      <w:pPr>
        <w:numPr>
          <w:ilvl w:val="0"/>
          <w:numId w:val="9"/>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be male and must not have a height greater than or equal to 167.7 cm; OR</w:t>
      </w:r>
    </w:p>
    <w:p w14:paraId="6908A5CC" w14:textId="77777777" w:rsidR="00331DDE" w:rsidRPr="00331DDE" w:rsidRDefault="00331DDE" w:rsidP="00331DDE">
      <w:pPr>
        <w:numPr>
          <w:ilvl w:val="0"/>
          <w:numId w:val="9"/>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be female and must not have a height greater than or equal to 155.0 cm,</w:t>
      </w:r>
    </w:p>
    <w:p w14:paraId="0BCD802B"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65BAAB2A" w14:textId="77777777" w:rsidR="00331DDE" w:rsidRPr="00331DDE" w:rsidRDefault="00331DDE" w:rsidP="00331DDE">
      <w:pPr>
        <w:numPr>
          <w:ilvl w:val="0"/>
          <w:numId w:val="10"/>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be male and must not have maturational or constitutional delay in combination with an estimated mature height equal to or above 160.1 cm; OR</w:t>
      </w:r>
    </w:p>
    <w:p w14:paraId="45455747" w14:textId="77777777" w:rsidR="00331DDE" w:rsidRPr="00331DDE" w:rsidRDefault="00331DDE" w:rsidP="00331DDE">
      <w:pPr>
        <w:numPr>
          <w:ilvl w:val="0"/>
          <w:numId w:val="10"/>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be female and must not have maturational or constitutional delay in combination with an estimated mature height equal to or above 148.0 cm.</w:t>
      </w:r>
    </w:p>
    <w:p w14:paraId="4164DAFE" w14:textId="77777777" w:rsidR="00331DDE" w:rsidRPr="00202826" w:rsidRDefault="00331DDE" w:rsidP="00331DDE">
      <w:pPr>
        <w:rPr>
          <w:rFonts w:eastAsia="Times New Roman" w:cstheme="minorHAnsi"/>
          <w:b/>
          <w:bCs/>
          <w:color w:val="222222"/>
          <w:sz w:val="22"/>
          <w:szCs w:val="22"/>
          <w:bdr w:val="none" w:sz="0" w:space="0" w:color="auto" w:frame="1"/>
        </w:rPr>
      </w:pPr>
    </w:p>
    <w:p w14:paraId="103223A6" w14:textId="5223C5B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Treatment criteria:</w:t>
      </w:r>
    </w:p>
    <w:p w14:paraId="6E8E5D83" w14:textId="77777777" w:rsidR="00331DDE" w:rsidRPr="00331DDE" w:rsidRDefault="00331DDE" w:rsidP="00331DDE">
      <w:pPr>
        <w:numPr>
          <w:ilvl w:val="0"/>
          <w:numId w:val="11"/>
        </w:numPr>
        <w:ind w:left="0" w:firstLine="0"/>
        <w:rPr>
          <w:rFonts w:eastAsia="Times New Roman" w:cstheme="minorHAnsi"/>
          <w:color w:val="222222"/>
          <w:sz w:val="22"/>
          <w:szCs w:val="22"/>
        </w:rPr>
      </w:pPr>
      <w:r w:rsidRPr="00331DDE">
        <w:rPr>
          <w:rFonts w:eastAsia="Times New Roman" w:cstheme="minorHAnsi"/>
          <w:color w:val="222222"/>
          <w:sz w:val="22"/>
          <w:szCs w:val="22"/>
        </w:rPr>
        <w:t>Must be treated by a specialist or consultant physician in paediatric endocrinology; OR</w:t>
      </w:r>
    </w:p>
    <w:p w14:paraId="66A64BFF" w14:textId="77777777" w:rsidR="00331DDE" w:rsidRPr="00331DDE" w:rsidRDefault="00331DDE" w:rsidP="00331DDE">
      <w:pPr>
        <w:numPr>
          <w:ilvl w:val="0"/>
          <w:numId w:val="11"/>
        </w:numPr>
        <w:ind w:left="0" w:firstLine="0"/>
        <w:rPr>
          <w:rFonts w:eastAsia="Times New Roman" w:cstheme="minorHAnsi"/>
          <w:color w:val="222222"/>
          <w:sz w:val="22"/>
          <w:szCs w:val="22"/>
        </w:rPr>
      </w:pPr>
      <w:r w:rsidRPr="00331DDE">
        <w:rPr>
          <w:rFonts w:eastAsia="Times New Roman" w:cstheme="minorHAnsi"/>
          <w:color w:val="222222"/>
          <w:sz w:val="22"/>
          <w:szCs w:val="22"/>
        </w:rPr>
        <w:t>Must be treated by a specialist or consultant physician in general paediatrics in consultation with a nominated specialist or consultant physician in paediatric endocrinology.</w:t>
      </w:r>
    </w:p>
    <w:p w14:paraId="14BE5493"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An older child is defined as a male with a chronological age of at least 12 years or a bone age of at least 10 years, or a female with a chronological age of at least 10 years or a bone age of at least 8 years.</w:t>
      </w:r>
    </w:p>
    <w:p w14:paraId="64BF4432"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The maximum duration of the initial treatment phase is 32 weeks. Prescribers must determine an appropriate weekly dose in accordance with the dosing arrangements detailed in the </w:t>
      </w:r>
      <w:r w:rsidRPr="00331DDE">
        <w:rPr>
          <w:rFonts w:eastAsia="Times New Roman" w:cstheme="minorHAnsi"/>
          <w:b/>
          <w:bCs/>
          <w:color w:val="222222"/>
          <w:sz w:val="22"/>
          <w:szCs w:val="22"/>
          <w:bdr w:val="none" w:sz="0" w:space="0" w:color="auto" w:frame="1"/>
        </w:rPr>
        <w:t>National Health (Growth Hormone Program) Special Arrangement 2015</w:t>
      </w:r>
      <w:r w:rsidRPr="00331DDE">
        <w:rPr>
          <w:rFonts w:eastAsia="Times New Roman" w:cstheme="minorHAnsi"/>
          <w:color w:val="222222"/>
          <w:sz w:val="22"/>
          <w:szCs w:val="22"/>
        </w:rPr>
        <w:t> and request the appropriate number of vials/cartridges required to provide sufficient drug for 16 weeks' worth of treatment (with up to 1 repeat allowed).</w:t>
      </w:r>
    </w:p>
    <w:p w14:paraId="18A8263B"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The authority application must be in writing and must include:</w:t>
      </w:r>
    </w:p>
    <w:p w14:paraId="05CF66C6"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1. A completed authority prescription form; AND</w:t>
      </w:r>
    </w:p>
    <w:p w14:paraId="00A67C65"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2. A completed Growth Hormone Authority Application Supporting Information Form for initial treatment; AND</w:t>
      </w:r>
    </w:p>
    <w:p w14:paraId="0DFEE697"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3. A minimum of 12 months of recent growth data (height and weight measurements) or a minimum of 6 months of recent growth data for an older child. The most recent data must not be more than three months old at the time of application; AND</w:t>
      </w:r>
    </w:p>
    <w:p w14:paraId="06E0F5AB"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lastRenderedPageBreak/>
        <w:t>4. A bone age result performed within the last 12 months; AND</w:t>
      </w:r>
    </w:p>
    <w:p w14:paraId="7F3D52AF"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5. Confirmation of the patient's maturational or constitutional delay status; AND</w:t>
      </w:r>
    </w:p>
    <w:p w14:paraId="6E99F68D"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6. If the patient has maturational or constitutional delay, confirmation that the patient has an estimated mature height below the 1</w:t>
      </w:r>
      <w:r w:rsidRPr="00331DDE">
        <w:rPr>
          <w:rFonts w:eastAsia="Times New Roman" w:cstheme="minorHAnsi"/>
          <w:color w:val="222222"/>
          <w:sz w:val="22"/>
          <w:szCs w:val="22"/>
          <w:bdr w:val="none" w:sz="0" w:space="0" w:color="auto" w:frame="1"/>
          <w:vertAlign w:val="superscript"/>
        </w:rPr>
        <w:t>st</w:t>
      </w:r>
      <w:r w:rsidRPr="00331DDE">
        <w:rPr>
          <w:rFonts w:eastAsia="Times New Roman" w:cstheme="minorHAnsi"/>
          <w:color w:val="222222"/>
          <w:sz w:val="22"/>
          <w:szCs w:val="22"/>
        </w:rPr>
        <w:t> adult height percentile; AND</w:t>
      </w:r>
    </w:p>
    <w:p w14:paraId="239461E8"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7. The proprietary name (brand), form and strength of somatropin requested, and the number of vials/cartridges required to provide sufficient drug for 16 weeks' worth of treatment (with up to 1 repeat allowed).</w:t>
      </w:r>
    </w:p>
    <w:p w14:paraId="0E7CBD4D"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Prescribers must keep a copy of any clinical records relating to the prescription, including such records required to demonstrate that the prescription was written in compliance with any relevant circumstances and/or purposes. These records must be kept for 2 years after the date the prescription to which the records relate is written.</w:t>
      </w:r>
    </w:p>
    <w:p w14:paraId="7DD5342F" w14:textId="77777777" w:rsidR="00331DDE" w:rsidRPr="00202826" w:rsidRDefault="00331DDE" w:rsidP="00331DDE">
      <w:pPr>
        <w:rPr>
          <w:rFonts w:eastAsia="Times New Roman" w:cstheme="minorHAnsi"/>
          <w:color w:val="FF0000"/>
          <w:sz w:val="22"/>
          <w:szCs w:val="22"/>
        </w:rPr>
      </w:pPr>
    </w:p>
    <w:p w14:paraId="6A5E0D74" w14:textId="77777777" w:rsidR="00331DDE" w:rsidRPr="00331DDE" w:rsidRDefault="00331DDE">
      <w:pPr>
        <w:rPr>
          <w:rFonts w:eastAsia="Times New Roman" w:cstheme="minorHAnsi"/>
          <w:color w:val="FF0000"/>
          <w:sz w:val="20"/>
          <w:szCs w:val="20"/>
        </w:rPr>
      </w:pPr>
      <w:r w:rsidRPr="00331DDE">
        <w:rPr>
          <w:rFonts w:eastAsia="Times New Roman" w:cstheme="minorHAnsi"/>
          <w:color w:val="FF0000"/>
          <w:sz w:val="20"/>
          <w:szCs w:val="20"/>
        </w:rPr>
        <w:br w:type="page"/>
      </w:r>
    </w:p>
    <w:p w14:paraId="094ADABC" w14:textId="773FEC6D" w:rsidR="00331DDE" w:rsidRPr="00331DDE" w:rsidRDefault="00331DDE" w:rsidP="00331DDE">
      <w:pPr>
        <w:pStyle w:val="Heading1"/>
        <w:rPr>
          <w:rFonts w:asciiTheme="minorHAnsi" w:hAnsiTheme="minorHAnsi" w:cstheme="minorHAnsi"/>
        </w:rPr>
      </w:pPr>
      <w:bookmarkStart w:id="1" w:name="_Toc13510360"/>
      <w:r w:rsidRPr="00331DDE">
        <w:rPr>
          <w:rFonts w:asciiTheme="minorHAnsi" w:hAnsiTheme="minorHAnsi" w:cstheme="minorHAnsi"/>
        </w:rPr>
        <w:lastRenderedPageBreak/>
        <w:t>Short stature associated with biochemical growth hormone deficiency</w:t>
      </w:r>
      <w:bookmarkEnd w:id="1"/>
    </w:p>
    <w:p w14:paraId="17B60A82"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Treatment Phase: Initial treatment</w:t>
      </w:r>
    </w:p>
    <w:p w14:paraId="7CA16AE5" w14:textId="77777777" w:rsidR="00331DDE" w:rsidRPr="00202826" w:rsidRDefault="00331DDE" w:rsidP="00331DDE">
      <w:pPr>
        <w:rPr>
          <w:rFonts w:eastAsia="Times New Roman" w:cstheme="minorHAnsi"/>
          <w:b/>
          <w:bCs/>
          <w:color w:val="222222"/>
          <w:sz w:val="22"/>
          <w:szCs w:val="22"/>
          <w:bdr w:val="none" w:sz="0" w:space="0" w:color="auto" w:frame="1"/>
        </w:rPr>
      </w:pPr>
    </w:p>
    <w:p w14:paraId="3DBDD726" w14:textId="5532101F"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Clinical criteria:</w:t>
      </w:r>
    </w:p>
    <w:p w14:paraId="36F38FF1" w14:textId="77777777" w:rsidR="00331DDE" w:rsidRPr="00331DDE" w:rsidRDefault="00331DDE" w:rsidP="00331DDE">
      <w:pPr>
        <w:numPr>
          <w:ilvl w:val="0"/>
          <w:numId w:val="12"/>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have evidence of biochemical growth hormone deficiency, with a peak serum growth hormone concentration less than 10 mU/L or less than or equal to 3.3 micrograms per litre in response to 2 pharmacological growth hormone stimulation tests (e.g. arginine, clonidine, glucagon, insulin); OR</w:t>
      </w:r>
    </w:p>
    <w:p w14:paraId="38E5E0CD" w14:textId="77777777" w:rsidR="00331DDE" w:rsidRPr="00331DDE" w:rsidRDefault="00331DDE" w:rsidP="00331DDE">
      <w:pPr>
        <w:numPr>
          <w:ilvl w:val="0"/>
          <w:numId w:val="12"/>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have evidence of biochemical growth hormone deficiency, with a peak serum growth hormone concentration less than 10 mU/L or less than or equal to 3.3 micrograms per litre in response to 1 pharmacological growth hormone stimulation test (e.g. arginine, clonidine, glucagon, insulin) and 1 physiological growth hormone stimulation test (e.g. sleep, exercise); OR</w:t>
      </w:r>
    </w:p>
    <w:p w14:paraId="65EDE08D" w14:textId="77777777" w:rsidR="00331DDE" w:rsidRPr="00331DDE" w:rsidRDefault="00331DDE" w:rsidP="00331DDE">
      <w:pPr>
        <w:numPr>
          <w:ilvl w:val="0"/>
          <w:numId w:val="12"/>
        </w:numPr>
        <w:ind w:left="0" w:firstLine="0"/>
        <w:rPr>
          <w:rFonts w:eastAsia="Times New Roman" w:cstheme="minorHAnsi"/>
          <w:color w:val="222222"/>
          <w:sz w:val="22"/>
          <w:szCs w:val="22"/>
        </w:rPr>
      </w:pPr>
      <w:r w:rsidRPr="00331DDE">
        <w:rPr>
          <w:rFonts w:eastAsia="Times New Roman" w:cstheme="minorHAnsi"/>
          <w:color w:val="222222"/>
          <w:sz w:val="22"/>
          <w:szCs w:val="22"/>
        </w:rPr>
        <w:t xml:space="preserve">Patient must have evidence of biochemical growth hormone deficiency, with a peak serum growth hormone concentration less than 10 mU/L or less than or equal to 3.3 micrograms per litre in response to 1 growth hormone stimulation test (pharmacological or physiological e.g. arginine, clonidine, glucagon, insulin, sleep, exercise) with other evidence of growth hormone deficiency, including septo-optic dysplasia (absent corpus callosum and/or septum pellucidum), midline abnormality including optic nerve hypoplasia, cleft lip and palate, midfacial hypoplasia and central incisor, ectopic and/or absent posterior pituitary bright spot, absent empty </w:t>
      </w:r>
      <w:proofErr w:type="spellStart"/>
      <w:r w:rsidRPr="00331DDE">
        <w:rPr>
          <w:rFonts w:eastAsia="Times New Roman" w:cstheme="minorHAnsi"/>
          <w:color w:val="222222"/>
          <w:sz w:val="22"/>
          <w:szCs w:val="22"/>
        </w:rPr>
        <w:t>sella</w:t>
      </w:r>
      <w:proofErr w:type="spellEnd"/>
      <w:r w:rsidRPr="00331DDE">
        <w:rPr>
          <w:rFonts w:eastAsia="Times New Roman" w:cstheme="minorHAnsi"/>
          <w:color w:val="222222"/>
          <w:sz w:val="22"/>
          <w:szCs w:val="22"/>
        </w:rPr>
        <w:t xml:space="preserve"> syndrome, hypoplastic anterior pituitary gland and/or pituitary stalk/infundibulum, and genetically proven biochemical growth hormone deficiency either isolated or as part of hypopituitarism in association with pituitary deficits (ACTH, TSH, GnRH or vasopressin/ADH deficiency); OR</w:t>
      </w:r>
    </w:p>
    <w:p w14:paraId="71CC7762" w14:textId="77777777" w:rsidR="00331DDE" w:rsidRPr="00331DDE" w:rsidRDefault="00331DDE" w:rsidP="00331DDE">
      <w:pPr>
        <w:numPr>
          <w:ilvl w:val="0"/>
          <w:numId w:val="12"/>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have evidence of biochemical growth hormone deficiency, with a peak serum growth hormone concentration less than 10 mU/L or less than or equal to 3.3 micrograms per litre in response to 1 growth hormone stimulation test (pharmacological or physiological e.g. arginine, clonidine, glucagon, insulin, sleep, exercise) and low plasma IGF-1 levels; OR</w:t>
      </w:r>
    </w:p>
    <w:p w14:paraId="4C0CD599" w14:textId="77777777" w:rsidR="00331DDE" w:rsidRPr="00331DDE" w:rsidRDefault="00331DDE" w:rsidP="00331DDE">
      <w:pPr>
        <w:numPr>
          <w:ilvl w:val="0"/>
          <w:numId w:val="12"/>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have evidence of biochemical growth hormone deficiency, with a peak serum growth hormone concentration less than 10 mU/L or less than or equal to 3.3 micrograms per litre in response to 1 growth hormone stimulation test (pharmacological or physiological e.g. arginine, clonidine, glucagon, insulin, sleep, exercise) and low plasma IGFBP-3 levels,</w:t>
      </w:r>
    </w:p>
    <w:p w14:paraId="236B371C"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632DEF8E" w14:textId="77777777" w:rsidR="00331DDE" w:rsidRPr="00331DDE" w:rsidRDefault="00331DDE" w:rsidP="00331DDE">
      <w:pPr>
        <w:numPr>
          <w:ilvl w:val="0"/>
          <w:numId w:val="13"/>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have a current height at or below the 1</w:t>
      </w:r>
      <w:r w:rsidRPr="00331DDE">
        <w:rPr>
          <w:rFonts w:eastAsia="Times New Roman" w:cstheme="minorHAnsi"/>
          <w:color w:val="222222"/>
          <w:sz w:val="22"/>
          <w:szCs w:val="22"/>
          <w:bdr w:val="none" w:sz="0" w:space="0" w:color="auto" w:frame="1"/>
          <w:vertAlign w:val="superscript"/>
        </w:rPr>
        <w:t>st</w:t>
      </w:r>
      <w:r w:rsidRPr="00331DDE">
        <w:rPr>
          <w:rFonts w:eastAsia="Times New Roman" w:cstheme="minorHAnsi"/>
          <w:color w:val="222222"/>
          <w:sz w:val="22"/>
          <w:szCs w:val="22"/>
        </w:rPr>
        <w:t> percentile for age and sex; OR</w:t>
      </w:r>
    </w:p>
    <w:p w14:paraId="744C183D" w14:textId="77777777" w:rsidR="00331DDE" w:rsidRPr="00331DDE" w:rsidRDefault="00331DDE" w:rsidP="00331DDE">
      <w:pPr>
        <w:numPr>
          <w:ilvl w:val="0"/>
          <w:numId w:val="13"/>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have a current height above the 1</w:t>
      </w:r>
      <w:r w:rsidRPr="00331DDE">
        <w:rPr>
          <w:rFonts w:eastAsia="Times New Roman" w:cstheme="minorHAnsi"/>
          <w:color w:val="222222"/>
          <w:sz w:val="22"/>
          <w:szCs w:val="22"/>
          <w:bdr w:val="none" w:sz="0" w:space="0" w:color="auto" w:frame="1"/>
          <w:vertAlign w:val="superscript"/>
        </w:rPr>
        <w:t>st</w:t>
      </w:r>
      <w:r w:rsidRPr="00331DDE">
        <w:rPr>
          <w:rFonts w:eastAsia="Times New Roman" w:cstheme="minorHAnsi"/>
          <w:color w:val="222222"/>
          <w:sz w:val="22"/>
          <w:szCs w:val="22"/>
        </w:rPr>
        <w:t> and at or below the 25</w:t>
      </w:r>
      <w:r w:rsidRPr="00331DDE">
        <w:rPr>
          <w:rFonts w:eastAsia="Times New Roman" w:cstheme="minorHAnsi"/>
          <w:color w:val="222222"/>
          <w:sz w:val="22"/>
          <w:szCs w:val="22"/>
          <w:bdr w:val="none" w:sz="0" w:space="0" w:color="auto" w:frame="1"/>
          <w:vertAlign w:val="superscript"/>
        </w:rPr>
        <w:t>th</w:t>
      </w:r>
      <w:r w:rsidRPr="00331DDE">
        <w:rPr>
          <w:rFonts w:eastAsia="Times New Roman" w:cstheme="minorHAnsi"/>
          <w:color w:val="222222"/>
          <w:sz w:val="22"/>
          <w:szCs w:val="22"/>
        </w:rPr>
        <w:t> percentiles for age and sex and a growth velocity below the 25</w:t>
      </w:r>
      <w:r w:rsidRPr="00331DDE">
        <w:rPr>
          <w:rFonts w:eastAsia="Times New Roman" w:cstheme="minorHAnsi"/>
          <w:color w:val="222222"/>
          <w:sz w:val="22"/>
          <w:szCs w:val="22"/>
          <w:bdr w:val="none" w:sz="0" w:space="0" w:color="auto" w:frame="1"/>
          <w:vertAlign w:val="superscript"/>
        </w:rPr>
        <w:t>th</w:t>
      </w:r>
      <w:r w:rsidRPr="00331DDE">
        <w:rPr>
          <w:rFonts w:eastAsia="Times New Roman" w:cstheme="minorHAnsi"/>
          <w:color w:val="222222"/>
          <w:sz w:val="22"/>
          <w:szCs w:val="22"/>
        </w:rPr>
        <w:t> percentile for bone age and sex measured over a 12 month interval (or a 6 month interval for an older child); OR</w:t>
      </w:r>
    </w:p>
    <w:p w14:paraId="264ACD74" w14:textId="77777777" w:rsidR="00331DDE" w:rsidRPr="00331DDE" w:rsidRDefault="00331DDE" w:rsidP="00331DDE">
      <w:pPr>
        <w:numPr>
          <w:ilvl w:val="0"/>
          <w:numId w:val="13"/>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have a current height above the 1</w:t>
      </w:r>
      <w:r w:rsidRPr="00331DDE">
        <w:rPr>
          <w:rFonts w:eastAsia="Times New Roman" w:cstheme="minorHAnsi"/>
          <w:color w:val="222222"/>
          <w:sz w:val="22"/>
          <w:szCs w:val="22"/>
          <w:bdr w:val="none" w:sz="0" w:space="0" w:color="auto" w:frame="1"/>
          <w:vertAlign w:val="superscript"/>
        </w:rPr>
        <w:t>st</w:t>
      </w:r>
      <w:r w:rsidRPr="00331DDE">
        <w:rPr>
          <w:rFonts w:eastAsia="Times New Roman" w:cstheme="minorHAnsi"/>
          <w:color w:val="222222"/>
          <w:sz w:val="22"/>
          <w:szCs w:val="22"/>
        </w:rPr>
        <w:t> and at or below the 25</w:t>
      </w:r>
      <w:r w:rsidRPr="00331DDE">
        <w:rPr>
          <w:rFonts w:eastAsia="Times New Roman" w:cstheme="minorHAnsi"/>
          <w:color w:val="222222"/>
          <w:sz w:val="22"/>
          <w:szCs w:val="22"/>
          <w:bdr w:val="none" w:sz="0" w:space="0" w:color="auto" w:frame="1"/>
          <w:vertAlign w:val="superscript"/>
        </w:rPr>
        <w:t>th</w:t>
      </w:r>
      <w:r w:rsidRPr="00331DDE">
        <w:rPr>
          <w:rFonts w:eastAsia="Times New Roman" w:cstheme="minorHAnsi"/>
          <w:color w:val="222222"/>
          <w:sz w:val="22"/>
          <w:szCs w:val="22"/>
        </w:rPr>
        <w:t> percentiles for age and sex and an annual growth velocity of 14 cm per year or less if the patient has a chronological age of 2 years or less; OR</w:t>
      </w:r>
    </w:p>
    <w:p w14:paraId="1EB8A732" w14:textId="77777777" w:rsidR="00331DDE" w:rsidRPr="00331DDE" w:rsidRDefault="00331DDE" w:rsidP="00331DDE">
      <w:pPr>
        <w:numPr>
          <w:ilvl w:val="0"/>
          <w:numId w:val="13"/>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have a current height above the 1</w:t>
      </w:r>
      <w:r w:rsidRPr="00331DDE">
        <w:rPr>
          <w:rFonts w:eastAsia="Times New Roman" w:cstheme="minorHAnsi"/>
          <w:color w:val="222222"/>
          <w:sz w:val="22"/>
          <w:szCs w:val="22"/>
          <w:bdr w:val="none" w:sz="0" w:space="0" w:color="auto" w:frame="1"/>
          <w:vertAlign w:val="superscript"/>
        </w:rPr>
        <w:t>st</w:t>
      </w:r>
      <w:r w:rsidRPr="00331DDE">
        <w:rPr>
          <w:rFonts w:eastAsia="Times New Roman" w:cstheme="minorHAnsi"/>
          <w:color w:val="222222"/>
          <w:sz w:val="22"/>
          <w:szCs w:val="22"/>
        </w:rPr>
        <w:t> and at or below the 25</w:t>
      </w:r>
      <w:r w:rsidRPr="00331DDE">
        <w:rPr>
          <w:rFonts w:eastAsia="Times New Roman" w:cstheme="minorHAnsi"/>
          <w:color w:val="222222"/>
          <w:sz w:val="22"/>
          <w:szCs w:val="22"/>
          <w:bdr w:val="none" w:sz="0" w:space="0" w:color="auto" w:frame="1"/>
          <w:vertAlign w:val="superscript"/>
        </w:rPr>
        <w:t>th</w:t>
      </w:r>
      <w:r w:rsidRPr="00331DDE">
        <w:rPr>
          <w:rFonts w:eastAsia="Times New Roman" w:cstheme="minorHAnsi"/>
          <w:color w:val="222222"/>
          <w:sz w:val="22"/>
          <w:szCs w:val="22"/>
        </w:rPr>
        <w:t> percentiles for age and sex and an annual growth velocity of 8 cm per year or less if the patient has a bone or chronological age of 2.5 years or less,</w:t>
      </w:r>
    </w:p>
    <w:p w14:paraId="2CF2EAA7"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7E20D910" w14:textId="77777777" w:rsidR="00331DDE" w:rsidRPr="00331DDE" w:rsidRDefault="00331DDE" w:rsidP="00331DDE">
      <w:pPr>
        <w:numPr>
          <w:ilvl w:val="0"/>
          <w:numId w:val="14"/>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not have diabetes mellitus,</w:t>
      </w:r>
    </w:p>
    <w:p w14:paraId="4D343731"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673640B8" w14:textId="77777777" w:rsidR="00331DDE" w:rsidRPr="00331DDE" w:rsidRDefault="00331DDE" w:rsidP="00331DDE">
      <w:pPr>
        <w:numPr>
          <w:ilvl w:val="0"/>
          <w:numId w:val="15"/>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not have a condition with a known risk of malignancy including chromosomal abnormalities such as Down and Bloom syndromes,</w:t>
      </w:r>
    </w:p>
    <w:p w14:paraId="275DBE98"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52658856" w14:textId="77777777" w:rsidR="00331DDE" w:rsidRPr="00331DDE" w:rsidRDefault="00331DDE" w:rsidP="00331DDE">
      <w:pPr>
        <w:numPr>
          <w:ilvl w:val="0"/>
          <w:numId w:val="16"/>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not have an active tumour or evidence of tumour growth or activity,</w:t>
      </w:r>
    </w:p>
    <w:p w14:paraId="1C2C3126"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6666337A" w14:textId="77777777" w:rsidR="00331DDE" w:rsidRPr="00331DDE" w:rsidRDefault="00331DDE" w:rsidP="00331DDE">
      <w:pPr>
        <w:numPr>
          <w:ilvl w:val="0"/>
          <w:numId w:val="17"/>
        </w:numPr>
        <w:ind w:left="0" w:firstLine="0"/>
        <w:rPr>
          <w:rFonts w:eastAsia="Times New Roman" w:cstheme="minorHAnsi"/>
          <w:color w:val="222222"/>
          <w:sz w:val="22"/>
          <w:szCs w:val="22"/>
        </w:rPr>
      </w:pPr>
      <w:r w:rsidRPr="00331DDE">
        <w:rPr>
          <w:rFonts w:eastAsia="Times New Roman" w:cstheme="minorHAnsi"/>
          <w:color w:val="222222"/>
          <w:sz w:val="22"/>
          <w:szCs w:val="22"/>
        </w:rPr>
        <w:lastRenderedPageBreak/>
        <w:t>Patient must not have previously received treatment under the PBS S100 Growth Hormone Program,</w:t>
      </w:r>
    </w:p>
    <w:p w14:paraId="79D1C3C1"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7F4FCDA7" w14:textId="77777777" w:rsidR="00331DDE" w:rsidRPr="00331DDE" w:rsidRDefault="00331DDE" w:rsidP="00331DDE">
      <w:pPr>
        <w:numPr>
          <w:ilvl w:val="0"/>
          <w:numId w:val="18"/>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be male and must not have a bone age of 15.5 years or more; OR</w:t>
      </w:r>
    </w:p>
    <w:p w14:paraId="33917A54" w14:textId="77777777" w:rsidR="00331DDE" w:rsidRPr="00331DDE" w:rsidRDefault="00331DDE" w:rsidP="00331DDE">
      <w:pPr>
        <w:numPr>
          <w:ilvl w:val="0"/>
          <w:numId w:val="18"/>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be female and must not have a bone age of 13.5 years or more.</w:t>
      </w:r>
    </w:p>
    <w:p w14:paraId="1E534FCD" w14:textId="77777777" w:rsidR="00331DDE" w:rsidRPr="00202826" w:rsidRDefault="00331DDE" w:rsidP="00331DDE">
      <w:pPr>
        <w:rPr>
          <w:rFonts w:eastAsia="Times New Roman" w:cstheme="minorHAnsi"/>
          <w:b/>
          <w:bCs/>
          <w:color w:val="222222"/>
          <w:sz w:val="22"/>
          <w:szCs w:val="22"/>
          <w:bdr w:val="none" w:sz="0" w:space="0" w:color="auto" w:frame="1"/>
        </w:rPr>
      </w:pPr>
    </w:p>
    <w:p w14:paraId="6F0EA953" w14:textId="578EDA23"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Treatment criteria:</w:t>
      </w:r>
    </w:p>
    <w:p w14:paraId="2082D9ED" w14:textId="77777777" w:rsidR="00331DDE" w:rsidRPr="00331DDE" w:rsidRDefault="00331DDE" w:rsidP="00331DDE">
      <w:pPr>
        <w:numPr>
          <w:ilvl w:val="0"/>
          <w:numId w:val="19"/>
        </w:numPr>
        <w:ind w:left="0" w:firstLine="0"/>
        <w:rPr>
          <w:rFonts w:eastAsia="Times New Roman" w:cstheme="minorHAnsi"/>
          <w:color w:val="222222"/>
          <w:sz w:val="22"/>
          <w:szCs w:val="22"/>
        </w:rPr>
      </w:pPr>
      <w:r w:rsidRPr="00331DDE">
        <w:rPr>
          <w:rFonts w:eastAsia="Times New Roman" w:cstheme="minorHAnsi"/>
          <w:color w:val="222222"/>
          <w:sz w:val="22"/>
          <w:szCs w:val="22"/>
        </w:rPr>
        <w:t>Must be treated by a specialist or consultant physician in paediatric endocrinology; OR</w:t>
      </w:r>
    </w:p>
    <w:p w14:paraId="56EF2DD7" w14:textId="77777777" w:rsidR="00331DDE" w:rsidRPr="00331DDE" w:rsidRDefault="00331DDE" w:rsidP="00331DDE">
      <w:pPr>
        <w:numPr>
          <w:ilvl w:val="0"/>
          <w:numId w:val="19"/>
        </w:numPr>
        <w:ind w:left="0" w:firstLine="0"/>
        <w:rPr>
          <w:rFonts w:eastAsia="Times New Roman" w:cstheme="minorHAnsi"/>
          <w:color w:val="222222"/>
          <w:sz w:val="22"/>
          <w:szCs w:val="22"/>
        </w:rPr>
      </w:pPr>
      <w:r w:rsidRPr="00331DDE">
        <w:rPr>
          <w:rFonts w:eastAsia="Times New Roman" w:cstheme="minorHAnsi"/>
          <w:color w:val="222222"/>
          <w:sz w:val="22"/>
          <w:szCs w:val="22"/>
        </w:rPr>
        <w:t>Must be treated by a specialist or consultant physician in general paediatrics in consultation with a nominated specialist or consultant physician in paediatric endocrinology.</w:t>
      </w:r>
    </w:p>
    <w:p w14:paraId="30BE7BA8"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An older child is defined as a male with a chronological age of at least 12 years or a bone age of at least 10 years, or a female with a chronological age of at least 10 years or a bone age of at least 8 years.</w:t>
      </w:r>
    </w:p>
    <w:p w14:paraId="169A9AC0"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The maximum duration of the initial treatment phase is 32 weeks. Prescribers must determine an appropriate weekly dose in accordance with the dosing arrangements detailed in the </w:t>
      </w:r>
      <w:r w:rsidRPr="00331DDE">
        <w:rPr>
          <w:rFonts w:eastAsia="Times New Roman" w:cstheme="minorHAnsi"/>
          <w:b/>
          <w:bCs/>
          <w:color w:val="222222"/>
          <w:sz w:val="22"/>
          <w:szCs w:val="22"/>
          <w:bdr w:val="none" w:sz="0" w:space="0" w:color="auto" w:frame="1"/>
        </w:rPr>
        <w:t>National Health (Growth Hormone Program) Special Arrangement 2015</w:t>
      </w:r>
      <w:r w:rsidRPr="00331DDE">
        <w:rPr>
          <w:rFonts w:eastAsia="Times New Roman" w:cstheme="minorHAnsi"/>
          <w:color w:val="222222"/>
          <w:sz w:val="22"/>
          <w:szCs w:val="22"/>
        </w:rPr>
        <w:t> and request the appropriate number of vials/cartridges required to provide sufficient drug for 16 weeks' worth of treatment (with up to 1 repeat allowed).</w:t>
      </w:r>
    </w:p>
    <w:p w14:paraId="442F6C80"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The authority application must be in writing and must include:</w:t>
      </w:r>
    </w:p>
    <w:p w14:paraId="6A623F8B"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1. A completed authority prescription form; AND</w:t>
      </w:r>
    </w:p>
    <w:p w14:paraId="562C978E"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2. A completed Growth Hormone Authority Application Supporting Information Form for initial treatment; AND</w:t>
      </w:r>
    </w:p>
    <w:p w14:paraId="07BEF72F"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3. (a) A minimum of 12 months of recent growth data (height and weight measurements) or a minimum of 6 months of recent growth data for an older child. The most recent data must not be more than three months old at the time of application; OR</w:t>
      </w:r>
    </w:p>
    <w:p w14:paraId="441D7C53"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(b) Height and weight measurements, not more than three months old at the time of application, for a patient whose current height is at or below the 1</w:t>
      </w:r>
      <w:r w:rsidRPr="00331DDE">
        <w:rPr>
          <w:rFonts w:eastAsia="Times New Roman" w:cstheme="minorHAnsi"/>
          <w:color w:val="222222"/>
          <w:sz w:val="22"/>
          <w:szCs w:val="22"/>
          <w:bdr w:val="none" w:sz="0" w:space="0" w:color="auto" w:frame="1"/>
          <w:vertAlign w:val="superscript"/>
        </w:rPr>
        <w:t>st</w:t>
      </w:r>
      <w:r w:rsidRPr="00331DDE">
        <w:rPr>
          <w:rFonts w:eastAsia="Times New Roman" w:cstheme="minorHAnsi"/>
          <w:color w:val="222222"/>
          <w:sz w:val="22"/>
          <w:szCs w:val="22"/>
        </w:rPr>
        <w:t> percentile for age and sex; AND</w:t>
      </w:r>
    </w:p>
    <w:p w14:paraId="3A37431C"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4. A bone age result performed within the last 12 months (except for a patient whose chronological age is 2.5 years or less); AND</w:t>
      </w:r>
    </w:p>
    <w:p w14:paraId="75166388"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5. Evidence of biochemical growth hormone deficiency, including the type of tests performed and peak growth hormone concentrations; AND</w:t>
      </w:r>
    </w:p>
    <w:p w14:paraId="76F55ADA"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6. The proprietary name (brand), form and strength of somatropin requested, and the number of vials/cartridges required to provide sufficient drug for 16 weeks' worth of treatment (with up to 1 repeat allowed).</w:t>
      </w:r>
    </w:p>
    <w:p w14:paraId="3DAB668A"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Prescribers must keep a copy of any clinical records relating to the prescription, including such records required to demonstrate that the prescription was written in compliance with any relevant circumstances and/or purposes. These records must be kept for 2 years after the date the prescription to which the records relate is written.</w:t>
      </w:r>
    </w:p>
    <w:p w14:paraId="73899405"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Biochemical growth hormone deficiency should not be secondary to an intracranial lesion or cranial irradiation for applications under this category.</w:t>
      </w:r>
    </w:p>
    <w:p w14:paraId="19D6C20C" w14:textId="77777777" w:rsidR="00331DDE" w:rsidRPr="00202826" w:rsidRDefault="00331DDE" w:rsidP="00331DDE">
      <w:pPr>
        <w:rPr>
          <w:rFonts w:eastAsia="Times New Roman" w:cstheme="minorHAnsi"/>
          <w:color w:val="FF0000"/>
          <w:sz w:val="22"/>
          <w:szCs w:val="22"/>
        </w:rPr>
      </w:pPr>
    </w:p>
    <w:p w14:paraId="2B45D6DD" w14:textId="77777777" w:rsidR="00331DDE" w:rsidRPr="00202826" w:rsidRDefault="00331DDE">
      <w:pPr>
        <w:rPr>
          <w:rFonts w:eastAsia="Times New Roman" w:cstheme="minorHAnsi"/>
          <w:color w:val="FF0000"/>
          <w:sz w:val="22"/>
          <w:szCs w:val="22"/>
        </w:rPr>
      </w:pPr>
      <w:r w:rsidRPr="00202826">
        <w:rPr>
          <w:rFonts w:eastAsia="Times New Roman" w:cstheme="minorHAnsi"/>
          <w:color w:val="FF0000"/>
          <w:sz w:val="22"/>
          <w:szCs w:val="22"/>
        </w:rPr>
        <w:br w:type="page"/>
      </w:r>
    </w:p>
    <w:p w14:paraId="2F346139" w14:textId="5EDEFABC" w:rsidR="00331DDE" w:rsidRPr="00331DDE" w:rsidRDefault="00331DDE" w:rsidP="00331DDE">
      <w:pPr>
        <w:pStyle w:val="Heading1"/>
        <w:rPr>
          <w:rFonts w:asciiTheme="minorHAnsi" w:hAnsiTheme="minorHAnsi" w:cstheme="minorHAnsi"/>
        </w:rPr>
      </w:pPr>
      <w:bookmarkStart w:id="2" w:name="_Toc13510361"/>
      <w:r w:rsidRPr="00331DDE">
        <w:rPr>
          <w:rFonts w:asciiTheme="minorHAnsi" w:hAnsiTheme="minorHAnsi" w:cstheme="minorHAnsi"/>
        </w:rPr>
        <w:lastRenderedPageBreak/>
        <w:t>Growth retardation secondary to an intracranial lesion, or cranial irradiation</w:t>
      </w:r>
      <w:bookmarkEnd w:id="2"/>
    </w:p>
    <w:p w14:paraId="07828C32"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Treatment Phase: Initial treatment</w:t>
      </w:r>
    </w:p>
    <w:p w14:paraId="3077E0B7" w14:textId="77777777" w:rsidR="00331DDE" w:rsidRPr="00202826" w:rsidRDefault="00331DDE" w:rsidP="00331DDE">
      <w:pPr>
        <w:rPr>
          <w:rFonts w:eastAsia="Times New Roman" w:cstheme="minorHAnsi"/>
          <w:b/>
          <w:bCs/>
          <w:color w:val="222222"/>
          <w:sz w:val="22"/>
          <w:szCs w:val="22"/>
          <w:bdr w:val="none" w:sz="0" w:space="0" w:color="auto" w:frame="1"/>
        </w:rPr>
      </w:pPr>
    </w:p>
    <w:p w14:paraId="36491C2D" w14:textId="7D293234"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Clinical criteria:</w:t>
      </w:r>
    </w:p>
    <w:p w14:paraId="2DCAC52A" w14:textId="77777777" w:rsidR="00331DDE" w:rsidRPr="00331DDE" w:rsidRDefault="00331DDE" w:rsidP="00331DDE">
      <w:pPr>
        <w:numPr>
          <w:ilvl w:val="0"/>
          <w:numId w:val="20"/>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have had an intracranial lesion and have undergone a 12 month period of observation following completion of treatment for the intracranial lesion (all treatment); OR</w:t>
      </w:r>
    </w:p>
    <w:p w14:paraId="56FA956D" w14:textId="77777777" w:rsidR="00331DDE" w:rsidRPr="00331DDE" w:rsidRDefault="00331DDE" w:rsidP="00331DDE">
      <w:pPr>
        <w:numPr>
          <w:ilvl w:val="0"/>
          <w:numId w:val="20"/>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have had an intracranial lesion, have received medical advice that it is unsafe to treat the intracranial lesion, and have undergone a 12 month period of observation since initial diagnosis of the intracranial lesion; OR</w:t>
      </w:r>
    </w:p>
    <w:p w14:paraId="66436723" w14:textId="77777777" w:rsidR="00331DDE" w:rsidRPr="00331DDE" w:rsidRDefault="00331DDE" w:rsidP="00331DDE">
      <w:pPr>
        <w:numPr>
          <w:ilvl w:val="0"/>
          <w:numId w:val="20"/>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have received cranial irradiation without having had an intracranial lesion, and have undergone a 12 month period of observation following completion of treatment for the condition for which cranial irradiation was received,</w:t>
      </w:r>
    </w:p>
    <w:p w14:paraId="42D8A32C"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0BF8B9B0" w14:textId="77777777" w:rsidR="00331DDE" w:rsidRPr="00331DDE" w:rsidRDefault="00331DDE" w:rsidP="00331DDE">
      <w:pPr>
        <w:numPr>
          <w:ilvl w:val="0"/>
          <w:numId w:val="21"/>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have evidence of biochemical growth hormone deficiency, with a peak serum growth hormone concentration less than 10 mU/L or less than or equal to 3.3 micrograms per litre in response to 2 pharmacological growth hormone stimulation tests (e.g. arginine, clonidine, glucagon, insulin); OR</w:t>
      </w:r>
    </w:p>
    <w:p w14:paraId="5FF83B39" w14:textId="77777777" w:rsidR="00331DDE" w:rsidRPr="00331DDE" w:rsidRDefault="00331DDE" w:rsidP="00331DDE">
      <w:pPr>
        <w:numPr>
          <w:ilvl w:val="0"/>
          <w:numId w:val="21"/>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have evidence of biochemical growth hormone deficiency, with a peak serum growth hormone concentration less than 10 mU/L or less than or equal to 3.3 micrograms per litre in response to 1 pharmacological growth hormone stimulation test (e.g. arginine, clonidine, glucagon, insulin) and 1 physiological growth hormone stimulation test (e.g. sleep, exercise); OR</w:t>
      </w:r>
    </w:p>
    <w:p w14:paraId="5104F2F1" w14:textId="77777777" w:rsidR="00331DDE" w:rsidRPr="00331DDE" w:rsidRDefault="00331DDE" w:rsidP="00331DDE">
      <w:pPr>
        <w:numPr>
          <w:ilvl w:val="0"/>
          <w:numId w:val="21"/>
        </w:numPr>
        <w:ind w:left="0" w:firstLine="0"/>
        <w:rPr>
          <w:rFonts w:eastAsia="Times New Roman" w:cstheme="minorHAnsi"/>
          <w:color w:val="222222"/>
          <w:sz w:val="22"/>
          <w:szCs w:val="22"/>
        </w:rPr>
      </w:pPr>
      <w:r w:rsidRPr="00331DDE">
        <w:rPr>
          <w:rFonts w:eastAsia="Times New Roman" w:cstheme="minorHAnsi"/>
          <w:color w:val="222222"/>
          <w:sz w:val="22"/>
          <w:szCs w:val="22"/>
        </w:rPr>
        <w:t xml:space="preserve">Patient must have evidence of biochemical growth hormone deficiency, with a peak serum growth hormone concentration less than 10 mU/L or less than or equal to 3.3 micrograms per litre in response to 1 growth hormone stimulation test (pharmacological or physiological e.g. arginine, clonidine, glucagon, insulin, sleep, exercise) with other evidence of growth hormone deficiency, including septo-optic dysplasia (absent corpus callosum and/or septum pellucidum), midline abnormality including optic nerve hypoplasia, cleft lip and palate, midfacial hypoplasia and central incisor, ectopic and/or absent posterior pituitary bright spot, absent empty </w:t>
      </w:r>
      <w:proofErr w:type="spellStart"/>
      <w:r w:rsidRPr="00331DDE">
        <w:rPr>
          <w:rFonts w:eastAsia="Times New Roman" w:cstheme="minorHAnsi"/>
          <w:color w:val="222222"/>
          <w:sz w:val="22"/>
          <w:szCs w:val="22"/>
        </w:rPr>
        <w:t>sella</w:t>
      </w:r>
      <w:proofErr w:type="spellEnd"/>
      <w:r w:rsidRPr="00331DDE">
        <w:rPr>
          <w:rFonts w:eastAsia="Times New Roman" w:cstheme="minorHAnsi"/>
          <w:color w:val="222222"/>
          <w:sz w:val="22"/>
          <w:szCs w:val="22"/>
        </w:rPr>
        <w:t xml:space="preserve"> syndrome, hypoplastic anterior pituitary gland and/or pituitary stalk/infundibulum, and genetically proven biochemical growth hormone deficiency either isolated or as part of hypopituitarism in association with pituitary deficits (ACTH, TSH, GnRH or vasopressin/ADH deficiency); OR</w:t>
      </w:r>
    </w:p>
    <w:p w14:paraId="45E8DD58" w14:textId="77777777" w:rsidR="00331DDE" w:rsidRPr="00331DDE" w:rsidRDefault="00331DDE" w:rsidP="00331DDE">
      <w:pPr>
        <w:numPr>
          <w:ilvl w:val="0"/>
          <w:numId w:val="21"/>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have evidence of biochemical growth hormone deficiency, with a peak serum growth hormone concentration less than 10 mU/L or less than or equal to 3.3 micrograms per litre in response to 1 growth hormone stimulation test (pharmacological or physiological e.g. arginine, clonidine, glucagon, insulin, sleep, exercise) and low plasma IGF-1 levels; OR</w:t>
      </w:r>
    </w:p>
    <w:p w14:paraId="118051FD" w14:textId="77777777" w:rsidR="00331DDE" w:rsidRPr="00331DDE" w:rsidRDefault="00331DDE" w:rsidP="00331DDE">
      <w:pPr>
        <w:numPr>
          <w:ilvl w:val="0"/>
          <w:numId w:val="21"/>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have evidence of biochemical growth hormone deficiency, with a peak serum growth hormone concentration less than 10 mU/L or less than or equal to 3.3 micrograms per litre in response to 1 growth hormone stimulation test (pharmacological or physiological e.g. arginine, clonidine, glucagon, insulin, sleep, exercise) and low plasma IGFBP-3 levels,</w:t>
      </w:r>
    </w:p>
    <w:p w14:paraId="02D6024C"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6722D79A" w14:textId="77777777" w:rsidR="00331DDE" w:rsidRPr="00331DDE" w:rsidRDefault="00331DDE" w:rsidP="00331DDE">
      <w:pPr>
        <w:numPr>
          <w:ilvl w:val="0"/>
          <w:numId w:val="22"/>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have a current height at or below the 1</w:t>
      </w:r>
      <w:r w:rsidRPr="00331DDE">
        <w:rPr>
          <w:rFonts w:eastAsia="Times New Roman" w:cstheme="minorHAnsi"/>
          <w:color w:val="222222"/>
          <w:sz w:val="22"/>
          <w:szCs w:val="22"/>
          <w:bdr w:val="none" w:sz="0" w:space="0" w:color="auto" w:frame="1"/>
          <w:vertAlign w:val="superscript"/>
        </w:rPr>
        <w:t>st</w:t>
      </w:r>
      <w:r w:rsidRPr="00331DDE">
        <w:rPr>
          <w:rFonts w:eastAsia="Times New Roman" w:cstheme="minorHAnsi"/>
          <w:color w:val="222222"/>
          <w:sz w:val="22"/>
          <w:szCs w:val="22"/>
        </w:rPr>
        <w:t> percentile for age and sex; OR</w:t>
      </w:r>
    </w:p>
    <w:p w14:paraId="3EB61F6A" w14:textId="77777777" w:rsidR="00331DDE" w:rsidRPr="00331DDE" w:rsidRDefault="00331DDE" w:rsidP="00331DDE">
      <w:pPr>
        <w:numPr>
          <w:ilvl w:val="0"/>
          <w:numId w:val="22"/>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have a current height above the 1</w:t>
      </w:r>
      <w:r w:rsidRPr="00331DDE">
        <w:rPr>
          <w:rFonts w:eastAsia="Times New Roman" w:cstheme="minorHAnsi"/>
          <w:color w:val="222222"/>
          <w:sz w:val="22"/>
          <w:szCs w:val="22"/>
          <w:bdr w:val="none" w:sz="0" w:space="0" w:color="auto" w:frame="1"/>
          <w:vertAlign w:val="superscript"/>
        </w:rPr>
        <w:t>st</w:t>
      </w:r>
      <w:r w:rsidRPr="00331DDE">
        <w:rPr>
          <w:rFonts w:eastAsia="Times New Roman" w:cstheme="minorHAnsi"/>
          <w:color w:val="222222"/>
          <w:sz w:val="22"/>
          <w:szCs w:val="22"/>
        </w:rPr>
        <w:t> percentile for age and sex and a growth velocity below the 25th percentile for bone age and sex measured over a 12 month interval (or a 6 month interval for an older child); OR</w:t>
      </w:r>
    </w:p>
    <w:p w14:paraId="6BE008A3" w14:textId="77777777" w:rsidR="00331DDE" w:rsidRPr="00331DDE" w:rsidRDefault="00331DDE" w:rsidP="00331DDE">
      <w:pPr>
        <w:numPr>
          <w:ilvl w:val="0"/>
          <w:numId w:val="22"/>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have a current height above the 1</w:t>
      </w:r>
      <w:r w:rsidRPr="00331DDE">
        <w:rPr>
          <w:rFonts w:eastAsia="Times New Roman" w:cstheme="minorHAnsi"/>
          <w:color w:val="222222"/>
          <w:sz w:val="22"/>
          <w:szCs w:val="22"/>
          <w:bdr w:val="none" w:sz="0" w:space="0" w:color="auto" w:frame="1"/>
          <w:vertAlign w:val="superscript"/>
        </w:rPr>
        <w:t>st</w:t>
      </w:r>
      <w:r w:rsidRPr="00331DDE">
        <w:rPr>
          <w:rFonts w:eastAsia="Times New Roman" w:cstheme="minorHAnsi"/>
          <w:color w:val="222222"/>
          <w:sz w:val="22"/>
          <w:szCs w:val="22"/>
        </w:rPr>
        <w:t> percentile for age and sex and an annual growth velocity of 14 cm per year or less if the patient has a chronological age of 2 years or less; OR</w:t>
      </w:r>
    </w:p>
    <w:p w14:paraId="0CB83AF9" w14:textId="77777777" w:rsidR="00331DDE" w:rsidRPr="00331DDE" w:rsidRDefault="00331DDE" w:rsidP="00331DDE">
      <w:pPr>
        <w:numPr>
          <w:ilvl w:val="0"/>
          <w:numId w:val="22"/>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have a current height above the 1</w:t>
      </w:r>
      <w:r w:rsidRPr="00331DDE">
        <w:rPr>
          <w:rFonts w:eastAsia="Times New Roman" w:cstheme="minorHAnsi"/>
          <w:color w:val="222222"/>
          <w:sz w:val="22"/>
          <w:szCs w:val="22"/>
          <w:bdr w:val="none" w:sz="0" w:space="0" w:color="auto" w:frame="1"/>
          <w:vertAlign w:val="superscript"/>
        </w:rPr>
        <w:t>st</w:t>
      </w:r>
      <w:r w:rsidRPr="00331DDE">
        <w:rPr>
          <w:rFonts w:eastAsia="Times New Roman" w:cstheme="minorHAnsi"/>
          <w:color w:val="222222"/>
          <w:sz w:val="22"/>
          <w:szCs w:val="22"/>
        </w:rPr>
        <w:t> percentile for age and sex and an annual growth velocity of 8 cm per year or less if the patient has a bone or chronological age of 2.5 years or less,</w:t>
      </w:r>
    </w:p>
    <w:p w14:paraId="12BB0959"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2C625939" w14:textId="77777777" w:rsidR="00331DDE" w:rsidRPr="00331DDE" w:rsidRDefault="00331DDE" w:rsidP="00331DDE">
      <w:pPr>
        <w:numPr>
          <w:ilvl w:val="0"/>
          <w:numId w:val="23"/>
        </w:numPr>
        <w:ind w:left="0" w:firstLine="0"/>
        <w:rPr>
          <w:rFonts w:eastAsia="Times New Roman" w:cstheme="minorHAnsi"/>
          <w:color w:val="222222"/>
          <w:sz w:val="22"/>
          <w:szCs w:val="22"/>
        </w:rPr>
      </w:pPr>
      <w:r w:rsidRPr="00331DDE">
        <w:rPr>
          <w:rFonts w:eastAsia="Times New Roman" w:cstheme="minorHAnsi"/>
          <w:color w:val="222222"/>
          <w:sz w:val="22"/>
          <w:szCs w:val="22"/>
        </w:rPr>
        <w:lastRenderedPageBreak/>
        <w:t>Patient must not have diabetes mellitus,</w:t>
      </w:r>
    </w:p>
    <w:p w14:paraId="5405BAE5"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7ADFBF33" w14:textId="77777777" w:rsidR="00331DDE" w:rsidRPr="00331DDE" w:rsidRDefault="00331DDE" w:rsidP="00331DDE">
      <w:pPr>
        <w:numPr>
          <w:ilvl w:val="0"/>
          <w:numId w:val="24"/>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not have a condition with a known risk of malignancy including chromosomal abnormalities such as Down and Bloom syndromes,</w:t>
      </w:r>
    </w:p>
    <w:p w14:paraId="74B709D3"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2D00DF10" w14:textId="77777777" w:rsidR="00331DDE" w:rsidRPr="00331DDE" w:rsidRDefault="00331DDE" w:rsidP="00331DDE">
      <w:pPr>
        <w:numPr>
          <w:ilvl w:val="0"/>
          <w:numId w:val="25"/>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not have an active tumour or evidence of tumour growth or activity,</w:t>
      </w:r>
    </w:p>
    <w:p w14:paraId="157A2296"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098D89B2" w14:textId="77777777" w:rsidR="00331DDE" w:rsidRPr="00331DDE" w:rsidRDefault="00331DDE" w:rsidP="00331DDE">
      <w:pPr>
        <w:numPr>
          <w:ilvl w:val="0"/>
          <w:numId w:val="26"/>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not have previously received treatment under the PBS S100 Growth Hormone Program,</w:t>
      </w:r>
    </w:p>
    <w:p w14:paraId="15E823CB"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05B1EA15" w14:textId="77777777" w:rsidR="00331DDE" w:rsidRPr="00331DDE" w:rsidRDefault="00331DDE" w:rsidP="00331DDE">
      <w:pPr>
        <w:numPr>
          <w:ilvl w:val="0"/>
          <w:numId w:val="27"/>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be male and must not have a bone age of 15.5 years or more; OR</w:t>
      </w:r>
    </w:p>
    <w:p w14:paraId="156DD81C" w14:textId="77777777" w:rsidR="00331DDE" w:rsidRPr="00331DDE" w:rsidRDefault="00331DDE" w:rsidP="00331DDE">
      <w:pPr>
        <w:numPr>
          <w:ilvl w:val="0"/>
          <w:numId w:val="27"/>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be female and must not have a bone age of 13.5 years or more.</w:t>
      </w:r>
    </w:p>
    <w:p w14:paraId="1E111255" w14:textId="77777777" w:rsidR="00331DDE" w:rsidRPr="00202826" w:rsidRDefault="00331DDE" w:rsidP="00331DDE">
      <w:pPr>
        <w:rPr>
          <w:rFonts w:eastAsia="Times New Roman" w:cstheme="minorHAnsi"/>
          <w:b/>
          <w:bCs/>
          <w:color w:val="222222"/>
          <w:sz w:val="22"/>
          <w:szCs w:val="22"/>
          <w:bdr w:val="none" w:sz="0" w:space="0" w:color="auto" w:frame="1"/>
        </w:rPr>
      </w:pPr>
    </w:p>
    <w:p w14:paraId="320871A8" w14:textId="01F48EA5"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Treatment criteria:</w:t>
      </w:r>
    </w:p>
    <w:p w14:paraId="08FCF873" w14:textId="77777777" w:rsidR="00331DDE" w:rsidRPr="00331DDE" w:rsidRDefault="00331DDE" w:rsidP="00331DDE">
      <w:pPr>
        <w:numPr>
          <w:ilvl w:val="0"/>
          <w:numId w:val="28"/>
        </w:numPr>
        <w:ind w:left="0" w:firstLine="0"/>
        <w:rPr>
          <w:rFonts w:eastAsia="Times New Roman" w:cstheme="minorHAnsi"/>
          <w:color w:val="222222"/>
          <w:sz w:val="22"/>
          <w:szCs w:val="22"/>
        </w:rPr>
      </w:pPr>
      <w:r w:rsidRPr="00331DDE">
        <w:rPr>
          <w:rFonts w:eastAsia="Times New Roman" w:cstheme="minorHAnsi"/>
          <w:color w:val="222222"/>
          <w:sz w:val="22"/>
          <w:szCs w:val="22"/>
        </w:rPr>
        <w:t>Must be treated by a specialist or consultant physician in paediatric endocrinology; OR</w:t>
      </w:r>
    </w:p>
    <w:p w14:paraId="6BD41304" w14:textId="77777777" w:rsidR="00331DDE" w:rsidRPr="00331DDE" w:rsidRDefault="00331DDE" w:rsidP="00331DDE">
      <w:pPr>
        <w:numPr>
          <w:ilvl w:val="0"/>
          <w:numId w:val="28"/>
        </w:numPr>
        <w:ind w:left="0" w:firstLine="0"/>
        <w:rPr>
          <w:rFonts w:eastAsia="Times New Roman" w:cstheme="minorHAnsi"/>
          <w:color w:val="222222"/>
          <w:sz w:val="22"/>
          <w:szCs w:val="22"/>
        </w:rPr>
      </w:pPr>
      <w:r w:rsidRPr="00331DDE">
        <w:rPr>
          <w:rFonts w:eastAsia="Times New Roman" w:cstheme="minorHAnsi"/>
          <w:color w:val="222222"/>
          <w:sz w:val="22"/>
          <w:szCs w:val="22"/>
        </w:rPr>
        <w:t>Must be treated by a specialist or consultant physician in general paediatrics in consultation with a nominated specialist or consultant physician in paediatric endocrinology.</w:t>
      </w:r>
    </w:p>
    <w:p w14:paraId="41EA65FB"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An older child is defined as a male with a chronological age of at least 12 years or a bone age of at least 10 years, or a female with a chronological age of at least 10 years or a bone age of at least 8 years.</w:t>
      </w:r>
    </w:p>
    <w:p w14:paraId="58572CD1"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The maximum duration of the initial treatment phase is 32 weeks. Prescribers must determine an appropriate weekly dose in accordance with the dosing arrangements detailed in the </w:t>
      </w:r>
      <w:r w:rsidRPr="00331DDE">
        <w:rPr>
          <w:rFonts w:eastAsia="Times New Roman" w:cstheme="minorHAnsi"/>
          <w:b/>
          <w:bCs/>
          <w:color w:val="222222"/>
          <w:sz w:val="22"/>
          <w:szCs w:val="22"/>
          <w:bdr w:val="none" w:sz="0" w:space="0" w:color="auto" w:frame="1"/>
        </w:rPr>
        <w:t>National Health (Growth Hormone Program) Special Arrangement 2015</w:t>
      </w:r>
      <w:r w:rsidRPr="00331DDE">
        <w:rPr>
          <w:rFonts w:eastAsia="Times New Roman" w:cstheme="minorHAnsi"/>
          <w:color w:val="222222"/>
          <w:sz w:val="22"/>
          <w:szCs w:val="22"/>
        </w:rPr>
        <w:t> and request the appropriate number of vials/cartridges required to provide sufficient drug for 16 weeks' worth of treatment (with up to 1 repeat allowed).</w:t>
      </w:r>
    </w:p>
    <w:p w14:paraId="235F3794"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The authority application must be in writing and must include:</w:t>
      </w:r>
    </w:p>
    <w:p w14:paraId="16E3E097"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1. A completed authority prescription form; AND</w:t>
      </w:r>
    </w:p>
    <w:p w14:paraId="3F2BC0B2"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2. A completed Growth Hormone Authority Application Supporting Information Form for initial treatment; AND</w:t>
      </w:r>
    </w:p>
    <w:p w14:paraId="0C8C3D37"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3. (a) A minimum of 12 months of recent growth data (height and weight measurements) or a minimum of 6 months of recent growth data for an older child. The most recent data must not be more than three months old at the time of application; OR</w:t>
      </w:r>
    </w:p>
    <w:p w14:paraId="7B152491"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(b) Height and weight measurements, not more than three months old at the time of application, for a patient whose current height is at or below the 1</w:t>
      </w:r>
      <w:r w:rsidRPr="00331DDE">
        <w:rPr>
          <w:rFonts w:eastAsia="Times New Roman" w:cstheme="minorHAnsi"/>
          <w:color w:val="222222"/>
          <w:sz w:val="22"/>
          <w:szCs w:val="22"/>
          <w:bdr w:val="none" w:sz="0" w:space="0" w:color="auto" w:frame="1"/>
          <w:vertAlign w:val="superscript"/>
        </w:rPr>
        <w:t>st</w:t>
      </w:r>
      <w:r w:rsidRPr="00331DDE">
        <w:rPr>
          <w:rFonts w:eastAsia="Times New Roman" w:cstheme="minorHAnsi"/>
          <w:color w:val="222222"/>
          <w:sz w:val="22"/>
          <w:szCs w:val="22"/>
        </w:rPr>
        <w:t> percentile for age and sex; AND</w:t>
      </w:r>
    </w:p>
    <w:p w14:paraId="7528DAB7"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4. A bone age result performed within the last 12 months (except for a patient whose chronological age is 2.5 years or less); AND</w:t>
      </w:r>
    </w:p>
    <w:p w14:paraId="3B5B8B0D"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5. Evidence of biochemical growth hormone deficiency, including the type of tests performed and peak growth hormone concentrations; AND</w:t>
      </w:r>
    </w:p>
    <w:p w14:paraId="41F25334"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6. (a) Confirmation that the patient has had an intracranial lesion and has undergone a 12 month period of observation following completion of treatment for the intracranial lesion (all treatment); OR</w:t>
      </w:r>
    </w:p>
    <w:p w14:paraId="086ED7CC"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(b) Confirmation that the patient has had an intracranial lesion, has received medical advice that it is unsafe to treat the intracranial lesion, and has undergone a 12 month period of observation since initial diagnosis of the intracranial lesion; OR</w:t>
      </w:r>
    </w:p>
    <w:p w14:paraId="1F5961C9"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(c) Confirmation that the patient has received cranial irradiation without having had an intracranial lesion, and has undergone a 12 month period of observation following completion of treatment for the condition for which cranial irradiation was received; AND</w:t>
      </w:r>
    </w:p>
    <w:p w14:paraId="43092A18"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 xml:space="preserve">7. The proprietary name (brand), form and strength of somatropin requested, and the number of vials/cartridges required to provide sufficient drug for 16 </w:t>
      </w:r>
      <w:proofErr w:type="spellStart"/>
      <w:r w:rsidRPr="00331DDE">
        <w:rPr>
          <w:rFonts w:eastAsia="Times New Roman" w:cstheme="minorHAnsi"/>
          <w:color w:val="222222"/>
          <w:sz w:val="22"/>
          <w:szCs w:val="22"/>
        </w:rPr>
        <w:t>weeks worth</w:t>
      </w:r>
      <w:proofErr w:type="spellEnd"/>
      <w:r w:rsidRPr="00331DDE">
        <w:rPr>
          <w:rFonts w:eastAsia="Times New Roman" w:cstheme="minorHAnsi"/>
          <w:color w:val="222222"/>
          <w:sz w:val="22"/>
          <w:szCs w:val="22"/>
        </w:rPr>
        <w:t xml:space="preserve"> of treatment (with up to 1 repeat allowed).</w:t>
      </w:r>
    </w:p>
    <w:p w14:paraId="51A0BEE6"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lastRenderedPageBreak/>
        <w:t>Prescribers must keep a copy of any clinical records relating to the prescription, including such records required to demonstrate that the prescription was written in compliance with any relevant circumstances and/or purposes. These records must be kept for 2 years after the date the prescription to which the records relate is written.</w:t>
      </w:r>
    </w:p>
    <w:p w14:paraId="7EAD0F36" w14:textId="77777777" w:rsidR="00331DDE" w:rsidRPr="00202826" w:rsidRDefault="00331DDE" w:rsidP="00331DDE">
      <w:pPr>
        <w:rPr>
          <w:rFonts w:eastAsia="Times New Roman" w:cstheme="minorHAnsi"/>
          <w:color w:val="FF0000"/>
          <w:sz w:val="22"/>
          <w:szCs w:val="22"/>
        </w:rPr>
      </w:pPr>
    </w:p>
    <w:p w14:paraId="7B818B12" w14:textId="77777777" w:rsidR="00331DDE" w:rsidRPr="00331DDE" w:rsidRDefault="00331DDE">
      <w:pPr>
        <w:rPr>
          <w:rFonts w:eastAsia="Times New Roman" w:cstheme="minorHAnsi"/>
          <w:color w:val="222222"/>
          <w:sz w:val="20"/>
          <w:szCs w:val="20"/>
        </w:rPr>
      </w:pPr>
      <w:r w:rsidRPr="00202826">
        <w:rPr>
          <w:rFonts w:eastAsia="Times New Roman" w:cstheme="minorHAnsi"/>
          <w:color w:val="222222"/>
          <w:sz w:val="22"/>
          <w:szCs w:val="22"/>
        </w:rPr>
        <w:br w:type="page"/>
      </w:r>
    </w:p>
    <w:p w14:paraId="05F5F911" w14:textId="502D78D6" w:rsidR="00331DDE" w:rsidRPr="00331DDE" w:rsidRDefault="00331DDE" w:rsidP="00331DDE">
      <w:pPr>
        <w:pStyle w:val="Heading1"/>
        <w:rPr>
          <w:rFonts w:asciiTheme="minorHAnsi" w:hAnsiTheme="minorHAnsi" w:cstheme="minorHAnsi"/>
        </w:rPr>
      </w:pPr>
      <w:bookmarkStart w:id="3" w:name="_Toc13510362"/>
      <w:r w:rsidRPr="00331DDE">
        <w:rPr>
          <w:rFonts w:asciiTheme="minorHAnsi" w:hAnsiTheme="minorHAnsi" w:cstheme="minorHAnsi"/>
        </w:rPr>
        <w:lastRenderedPageBreak/>
        <w:t>Risk of hypoglycaemia secondary to growth hormone deficiency in neonates/infants</w:t>
      </w:r>
      <w:bookmarkEnd w:id="3"/>
    </w:p>
    <w:p w14:paraId="4860B660"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Treatment Phase: Initial treatment</w:t>
      </w:r>
    </w:p>
    <w:p w14:paraId="5D47A221" w14:textId="77777777" w:rsidR="00331DDE" w:rsidRPr="00202826" w:rsidRDefault="00331DDE" w:rsidP="00331DDE">
      <w:pPr>
        <w:rPr>
          <w:rFonts w:eastAsia="Times New Roman" w:cstheme="minorHAnsi"/>
          <w:b/>
          <w:bCs/>
          <w:color w:val="222222"/>
          <w:sz w:val="22"/>
          <w:szCs w:val="22"/>
          <w:bdr w:val="none" w:sz="0" w:space="0" w:color="auto" w:frame="1"/>
        </w:rPr>
      </w:pPr>
    </w:p>
    <w:p w14:paraId="4141595E" w14:textId="0FF8F7D0"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Treatment criteria:</w:t>
      </w:r>
    </w:p>
    <w:p w14:paraId="030E327C" w14:textId="77777777" w:rsidR="00331DDE" w:rsidRPr="00331DDE" w:rsidRDefault="00331DDE" w:rsidP="00331DDE">
      <w:pPr>
        <w:numPr>
          <w:ilvl w:val="0"/>
          <w:numId w:val="29"/>
        </w:numPr>
        <w:ind w:left="0" w:firstLine="0"/>
        <w:rPr>
          <w:rFonts w:eastAsia="Times New Roman" w:cstheme="minorHAnsi"/>
          <w:color w:val="222222"/>
          <w:sz w:val="22"/>
          <w:szCs w:val="22"/>
        </w:rPr>
      </w:pPr>
      <w:r w:rsidRPr="00331DDE">
        <w:rPr>
          <w:rFonts w:eastAsia="Times New Roman" w:cstheme="minorHAnsi"/>
          <w:color w:val="222222"/>
          <w:sz w:val="22"/>
          <w:szCs w:val="22"/>
        </w:rPr>
        <w:t>Must be treated by a specialist or consultant physician in paediatric endocrinology; OR</w:t>
      </w:r>
    </w:p>
    <w:p w14:paraId="52B36F86" w14:textId="77777777" w:rsidR="00331DDE" w:rsidRPr="00331DDE" w:rsidRDefault="00331DDE" w:rsidP="00331DDE">
      <w:pPr>
        <w:numPr>
          <w:ilvl w:val="0"/>
          <w:numId w:val="29"/>
        </w:numPr>
        <w:ind w:left="0" w:firstLine="0"/>
        <w:rPr>
          <w:rFonts w:eastAsia="Times New Roman" w:cstheme="minorHAnsi"/>
          <w:color w:val="222222"/>
          <w:sz w:val="22"/>
          <w:szCs w:val="22"/>
        </w:rPr>
      </w:pPr>
      <w:r w:rsidRPr="00331DDE">
        <w:rPr>
          <w:rFonts w:eastAsia="Times New Roman" w:cstheme="minorHAnsi"/>
          <w:color w:val="222222"/>
          <w:sz w:val="22"/>
          <w:szCs w:val="22"/>
        </w:rPr>
        <w:t>Must be treated by a specialist or consultant physician in general paediatrics in consultation with a nominated specialist or consultant physician in paediatric endocrinology.</w:t>
      </w:r>
    </w:p>
    <w:p w14:paraId="48CA5587"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Clinical criteria:</w:t>
      </w:r>
    </w:p>
    <w:p w14:paraId="153FF177" w14:textId="77777777" w:rsidR="00331DDE" w:rsidRPr="00331DDE" w:rsidRDefault="00331DDE" w:rsidP="00331DDE">
      <w:pPr>
        <w:numPr>
          <w:ilvl w:val="0"/>
          <w:numId w:val="30"/>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have a chronological age of less than 2 years,</w:t>
      </w:r>
    </w:p>
    <w:p w14:paraId="511F1867"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30F80DC5" w14:textId="77777777" w:rsidR="00331DDE" w:rsidRPr="00331DDE" w:rsidRDefault="00331DDE" w:rsidP="00331DDE">
      <w:pPr>
        <w:numPr>
          <w:ilvl w:val="0"/>
          <w:numId w:val="31"/>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have a documented clinical risk of hypoglycaemia,</w:t>
      </w:r>
    </w:p>
    <w:p w14:paraId="37351D0D"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0BA85770" w14:textId="77777777" w:rsidR="00331DDE" w:rsidRPr="00331DDE" w:rsidRDefault="00331DDE" w:rsidP="00331DDE">
      <w:pPr>
        <w:numPr>
          <w:ilvl w:val="0"/>
          <w:numId w:val="32"/>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have documented evidence that the risk of hypoglycaemia is secondary to biochemical growth hormone deficiency,</w:t>
      </w:r>
    </w:p>
    <w:p w14:paraId="542F23C0"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2F7B6234" w14:textId="77777777" w:rsidR="00331DDE" w:rsidRPr="00331DDE" w:rsidRDefault="00331DDE" w:rsidP="00331DDE">
      <w:pPr>
        <w:numPr>
          <w:ilvl w:val="0"/>
          <w:numId w:val="33"/>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not have diabetes mellitus,</w:t>
      </w:r>
    </w:p>
    <w:p w14:paraId="2B733C7C"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7EE4217B" w14:textId="77777777" w:rsidR="00331DDE" w:rsidRPr="00331DDE" w:rsidRDefault="00331DDE" w:rsidP="00331DDE">
      <w:pPr>
        <w:numPr>
          <w:ilvl w:val="0"/>
          <w:numId w:val="34"/>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not have a condition with a known risk of malignancy including chromosomal abnormalities such as Down and Bloom syndromes,</w:t>
      </w:r>
    </w:p>
    <w:p w14:paraId="10E573FB"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4D9F273E" w14:textId="77777777" w:rsidR="00331DDE" w:rsidRPr="00331DDE" w:rsidRDefault="00331DDE" w:rsidP="00331DDE">
      <w:pPr>
        <w:numPr>
          <w:ilvl w:val="0"/>
          <w:numId w:val="35"/>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not have an active tumour or evidence of tumour growth or activity,</w:t>
      </w:r>
    </w:p>
    <w:p w14:paraId="6DB1652A"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4982EED3" w14:textId="77777777" w:rsidR="00331DDE" w:rsidRPr="00331DDE" w:rsidRDefault="00331DDE" w:rsidP="00331DDE">
      <w:pPr>
        <w:numPr>
          <w:ilvl w:val="0"/>
          <w:numId w:val="36"/>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not have previously received treatment under the PBS S100 Growth Hormone Program.</w:t>
      </w:r>
    </w:p>
    <w:p w14:paraId="3F10E427"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The maximum duration of the initial treatment phase is 32 weeks. Prescribers must determine an appropriate weekly dose in accordance with the dosing arrangements detailed in the </w:t>
      </w:r>
      <w:r w:rsidRPr="00331DDE">
        <w:rPr>
          <w:rFonts w:eastAsia="Times New Roman" w:cstheme="minorHAnsi"/>
          <w:b/>
          <w:bCs/>
          <w:color w:val="222222"/>
          <w:sz w:val="22"/>
          <w:szCs w:val="22"/>
          <w:bdr w:val="none" w:sz="0" w:space="0" w:color="auto" w:frame="1"/>
        </w:rPr>
        <w:t>National Health (Growth Hormone Program) Special Arrangement 2015</w:t>
      </w:r>
      <w:r w:rsidRPr="00331DDE">
        <w:rPr>
          <w:rFonts w:eastAsia="Times New Roman" w:cstheme="minorHAnsi"/>
          <w:color w:val="222222"/>
          <w:sz w:val="22"/>
          <w:szCs w:val="22"/>
        </w:rPr>
        <w:t> and request the appropriate number of vials/cartridges required to provide sufficient drug for 16 weeks' worth of treatment (with up to 1 repeat allowed).</w:t>
      </w:r>
    </w:p>
    <w:p w14:paraId="060D7B4C"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The authority application must be in writing and must include:</w:t>
      </w:r>
    </w:p>
    <w:p w14:paraId="4E3FBEE4"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1. A completed authority prescription form; AND</w:t>
      </w:r>
    </w:p>
    <w:p w14:paraId="7E8B1813"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2. A completed Growth Hormone Authority Application Supporting Information Form for initial treatment; AND</w:t>
      </w:r>
    </w:p>
    <w:p w14:paraId="39279CA5"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3. Recent growth data (height and weight, not older than three months); AND</w:t>
      </w:r>
    </w:p>
    <w:p w14:paraId="3FB136A4"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4. Confirmation that the patient has a documented clinical risk of hypoglycaemia; AND</w:t>
      </w:r>
    </w:p>
    <w:p w14:paraId="0C89FD1C"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5. Confirmation that the patient has documented evidence that the risk of hypoglycaemia is secondary to biochemical growth hormone deficiency; AND</w:t>
      </w:r>
    </w:p>
    <w:p w14:paraId="24BFD23F"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 xml:space="preserve">6. The proprietary name (brand), form and strength of somatropin requested, and the number of vials/cartridges required to provide sufficient drug for 16 </w:t>
      </w:r>
      <w:proofErr w:type="spellStart"/>
      <w:r w:rsidRPr="00331DDE">
        <w:rPr>
          <w:rFonts w:eastAsia="Times New Roman" w:cstheme="minorHAnsi"/>
          <w:color w:val="222222"/>
          <w:sz w:val="22"/>
          <w:szCs w:val="22"/>
        </w:rPr>
        <w:t>weeks worth</w:t>
      </w:r>
      <w:proofErr w:type="spellEnd"/>
      <w:r w:rsidRPr="00331DDE">
        <w:rPr>
          <w:rFonts w:eastAsia="Times New Roman" w:cstheme="minorHAnsi"/>
          <w:color w:val="222222"/>
          <w:sz w:val="22"/>
          <w:szCs w:val="22"/>
        </w:rPr>
        <w:t xml:space="preserve"> of treatment (with up to 1 repeat allowed).</w:t>
      </w:r>
    </w:p>
    <w:p w14:paraId="6DF181C4"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Prescribers must keep a copy of any clinical records relating to the prescription, including such records required to demonstrate that the prescription was written in compliance with any relevant circumstances and/or purposes. These records must be kept for 2 years after the date the prescription to which the records relate is written.</w:t>
      </w:r>
    </w:p>
    <w:p w14:paraId="15563B15" w14:textId="77777777" w:rsidR="00331DDE" w:rsidRPr="00331DDE" w:rsidRDefault="00331DDE">
      <w:pPr>
        <w:rPr>
          <w:rFonts w:eastAsia="Times New Roman" w:cstheme="minorHAnsi"/>
          <w:color w:val="FF0000"/>
          <w:sz w:val="20"/>
          <w:szCs w:val="20"/>
        </w:rPr>
      </w:pPr>
      <w:r w:rsidRPr="00202826">
        <w:rPr>
          <w:rFonts w:eastAsia="Times New Roman" w:cstheme="minorHAnsi"/>
          <w:color w:val="FF0000"/>
          <w:sz w:val="22"/>
          <w:szCs w:val="22"/>
        </w:rPr>
        <w:br w:type="page"/>
      </w:r>
    </w:p>
    <w:p w14:paraId="207EFEA7" w14:textId="33C12FDF" w:rsidR="00331DDE" w:rsidRPr="00331DDE" w:rsidRDefault="00331DDE" w:rsidP="00331DDE">
      <w:pPr>
        <w:pStyle w:val="Heading1"/>
        <w:rPr>
          <w:rFonts w:asciiTheme="minorHAnsi" w:hAnsiTheme="minorHAnsi" w:cstheme="minorHAnsi"/>
        </w:rPr>
      </w:pPr>
      <w:bookmarkStart w:id="4" w:name="_Toc13510363"/>
      <w:r w:rsidRPr="00331DDE">
        <w:rPr>
          <w:rFonts w:asciiTheme="minorHAnsi" w:hAnsiTheme="minorHAnsi" w:cstheme="minorHAnsi"/>
        </w:rPr>
        <w:lastRenderedPageBreak/>
        <w:t>Biochemical growth hormone deficiency and precocious puberty</w:t>
      </w:r>
      <w:bookmarkEnd w:id="4"/>
    </w:p>
    <w:p w14:paraId="42FC0FCE"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Treatment Phase: Initial treatment</w:t>
      </w:r>
    </w:p>
    <w:p w14:paraId="14F08CEC" w14:textId="77777777" w:rsidR="00331DDE" w:rsidRPr="00202826" w:rsidRDefault="00331DDE" w:rsidP="00331DDE">
      <w:pPr>
        <w:rPr>
          <w:rFonts w:eastAsia="Times New Roman" w:cstheme="minorHAnsi"/>
          <w:b/>
          <w:bCs/>
          <w:color w:val="222222"/>
          <w:sz w:val="22"/>
          <w:szCs w:val="22"/>
          <w:bdr w:val="none" w:sz="0" w:space="0" w:color="auto" w:frame="1"/>
        </w:rPr>
      </w:pPr>
    </w:p>
    <w:p w14:paraId="5AF72215" w14:textId="2023B55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Clinical criteria:</w:t>
      </w:r>
    </w:p>
    <w:p w14:paraId="55E36E12" w14:textId="77777777" w:rsidR="00331DDE" w:rsidRPr="00331DDE" w:rsidRDefault="00331DDE" w:rsidP="00331DDE">
      <w:pPr>
        <w:numPr>
          <w:ilvl w:val="0"/>
          <w:numId w:val="37"/>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be male and have commenced puberty (demonstrated by Tanner stage 2 genital or pubic hair development or testicular volumes greater than or equal to 4 mL) before the chronological age of 9 years; OR</w:t>
      </w:r>
    </w:p>
    <w:p w14:paraId="11029EB4" w14:textId="77777777" w:rsidR="00331DDE" w:rsidRPr="00331DDE" w:rsidRDefault="00331DDE" w:rsidP="00331DDE">
      <w:pPr>
        <w:numPr>
          <w:ilvl w:val="0"/>
          <w:numId w:val="37"/>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be female and have commenced puberty (demonstrated by Tanner stage 2 breast or pubic hair development) before the chronological age of 8 years; OR</w:t>
      </w:r>
    </w:p>
    <w:p w14:paraId="2C8F2407" w14:textId="77777777" w:rsidR="00331DDE" w:rsidRPr="00331DDE" w:rsidRDefault="00331DDE" w:rsidP="00331DDE">
      <w:pPr>
        <w:numPr>
          <w:ilvl w:val="0"/>
          <w:numId w:val="37"/>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be female and menarche occurred before the chronological age of 10 years,</w:t>
      </w:r>
    </w:p>
    <w:p w14:paraId="0A65E2B5"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01B6FC25" w14:textId="77777777" w:rsidR="00331DDE" w:rsidRPr="00331DDE" w:rsidRDefault="00331DDE" w:rsidP="00331DDE">
      <w:pPr>
        <w:numPr>
          <w:ilvl w:val="0"/>
          <w:numId w:val="38"/>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have evidence of biochemical growth hormone deficiency, with a peak serum growth hormone concentration less than 10 mU/L or less than or equal to 3.3 micrograms per litre in response to 2 pharmacological growth hormone stimulation tests (e.g. arginine, clonidine, glucagon, insulin); OR</w:t>
      </w:r>
    </w:p>
    <w:p w14:paraId="63F3C85E" w14:textId="77777777" w:rsidR="00331DDE" w:rsidRPr="00331DDE" w:rsidRDefault="00331DDE" w:rsidP="00331DDE">
      <w:pPr>
        <w:numPr>
          <w:ilvl w:val="0"/>
          <w:numId w:val="38"/>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have evidence of biochemical growth hormone deficiency, with a peak serum growth hormone concentration less than 10 mU/L or less than or equal to 3.3 micrograms per litre in response to 1 pharmacological growth hormone stimulation test (e.g. arginine, clonidine, glucagon, insulin) and 1 physiological growth hormone stimulation test (e.g. sleep, exercise); OR</w:t>
      </w:r>
    </w:p>
    <w:p w14:paraId="1A5AAF72" w14:textId="77777777" w:rsidR="00331DDE" w:rsidRPr="00331DDE" w:rsidRDefault="00331DDE" w:rsidP="00331DDE">
      <w:pPr>
        <w:numPr>
          <w:ilvl w:val="0"/>
          <w:numId w:val="38"/>
        </w:numPr>
        <w:ind w:left="0" w:firstLine="0"/>
        <w:rPr>
          <w:rFonts w:eastAsia="Times New Roman" w:cstheme="minorHAnsi"/>
          <w:color w:val="222222"/>
          <w:sz w:val="22"/>
          <w:szCs w:val="22"/>
        </w:rPr>
      </w:pPr>
      <w:r w:rsidRPr="00331DDE">
        <w:rPr>
          <w:rFonts w:eastAsia="Times New Roman" w:cstheme="minorHAnsi"/>
          <w:color w:val="222222"/>
          <w:sz w:val="22"/>
          <w:szCs w:val="22"/>
        </w:rPr>
        <w:t xml:space="preserve">Patient must have evidence of biochemical growth hormone deficiency, with a peak serum growth hormone concentration less than 10 mU/L or less than or equal to 3.3 micrograms per litre in response to 1 growth hormone stimulation test (pharmacological or physiological e.g. arginine, clonidine, glucagon, insulin, sleep, exercise) with other evidence of growth hormone deficiency, including septo-optic dysplasia (absent corpus callosum and/or septum pellucidum), midline abnormality including optic nerve hypoplasia, cleft lip and palate, midfacial hypoplasia and central incisor, ectopic and/or absent posterior pituitary bright spot, absent empty </w:t>
      </w:r>
      <w:proofErr w:type="spellStart"/>
      <w:r w:rsidRPr="00331DDE">
        <w:rPr>
          <w:rFonts w:eastAsia="Times New Roman" w:cstheme="minorHAnsi"/>
          <w:color w:val="222222"/>
          <w:sz w:val="22"/>
          <w:szCs w:val="22"/>
        </w:rPr>
        <w:t>sella</w:t>
      </w:r>
      <w:proofErr w:type="spellEnd"/>
      <w:r w:rsidRPr="00331DDE">
        <w:rPr>
          <w:rFonts w:eastAsia="Times New Roman" w:cstheme="minorHAnsi"/>
          <w:color w:val="222222"/>
          <w:sz w:val="22"/>
          <w:szCs w:val="22"/>
        </w:rPr>
        <w:t xml:space="preserve"> syndrome, hypoplastic anterior pituitary gland and/or pituitary stalk/infundibulum, and genetically proven biochemical growth hormone deficiency either isolated or as part of hypopituitarism in association with pituitary deficits (ACTH, TSH, GnRH or vasopressin/ADH deficiency); OR</w:t>
      </w:r>
    </w:p>
    <w:p w14:paraId="2409651C" w14:textId="77777777" w:rsidR="00331DDE" w:rsidRPr="00331DDE" w:rsidRDefault="00331DDE" w:rsidP="00331DDE">
      <w:pPr>
        <w:numPr>
          <w:ilvl w:val="0"/>
          <w:numId w:val="38"/>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have evidence of biochemical growth hormone deficiency, with a peak serum growth hormone concentration less than 10 mU/L or less than or equal to 3.3 micrograms per litre in response to 1 growth hormone stimulation test (pharmacological or physiological e.g. arginine, clonidine, glucagon, insulin, sleep, exercise) and low plasma IGF-1 levels; OR</w:t>
      </w:r>
    </w:p>
    <w:p w14:paraId="17789B98" w14:textId="77777777" w:rsidR="00331DDE" w:rsidRPr="00331DDE" w:rsidRDefault="00331DDE" w:rsidP="00331DDE">
      <w:pPr>
        <w:numPr>
          <w:ilvl w:val="0"/>
          <w:numId w:val="38"/>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have evidence of biochemical growth hormone deficiency, with a peak serum growth hormone concentration less than 10 mU/L or less than or equal to 3.3 micrograms per litre in response to 1 growth hormone stimulation test (pharmacological or physiological e.g. arginine, clonidine, glucagon, insulin, sleep, exercise) and low plasma IGFBP-3 levels,</w:t>
      </w:r>
    </w:p>
    <w:p w14:paraId="08F5E772"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5CBCAFFE" w14:textId="77777777" w:rsidR="00331DDE" w:rsidRPr="00331DDE" w:rsidRDefault="00331DDE" w:rsidP="00331DDE">
      <w:pPr>
        <w:numPr>
          <w:ilvl w:val="0"/>
          <w:numId w:val="39"/>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be undergoing Gonadotrophin Releasing Hormone agonist therapy for pubertal suppression,</w:t>
      </w:r>
    </w:p>
    <w:p w14:paraId="4DB88A39"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3B9B9C93" w14:textId="77777777" w:rsidR="00331DDE" w:rsidRPr="00331DDE" w:rsidRDefault="00331DDE" w:rsidP="00331DDE">
      <w:pPr>
        <w:numPr>
          <w:ilvl w:val="0"/>
          <w:numId w:val="40"/>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not have diabetes mellitus,</w:t>
      </w:r>
    </w:p>
    <w:p w14:paraId="5BD29482"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389828A7" w14:textId="77777777" w:rsidR="00331DDE" w:rsidRPr="00331DDE" w:rsidRDefault="00331DDE" w:rsidP="00331DDE">
      <w:pPr>
        <w:numPr>
          <w:ilvl w:val="0"/>
          <w:numId w:val="41"/>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not have a condition with a known risk of malignancy including chromosomal abnormalities such as Down and Bloom syndromes,</w:t>
      </w:r>
    </w:p>
    <w:p w14:paraId="405C57F3"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31A6D17B" w14:textId="77777777" w:rsidR="00331DDE" w:rsidRPr="00331DDE" w:rsidRDefault="00331DDE" w:rsidP="00331DDE">
      <w:pPr>
        <w:numPr>
          <w:ilvl w:val="0"/>
          <w:numId w:val="42"/>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not have an active tumour or evidence of tumour growth or activity,</w:t>
      </w:r>
    </w:p>
    <w:p w14:paraId="67BF2B1B"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2BE59954" w14:textId="77777777" w:rsidR="00331DDE" w:rsidRPr="00331DDE" w:rsidRDefault="00331DDE" w:rsidP="00331DDE">
      <w:pPr>
        <w:numPr>
          <w:ilvl w:val="0"/>
          <w:numId w:val="43"/>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not have previously received treatment under the PBS S100 Growth Hormone Program,</w:t>
      </w:r>
    </w:p>
    <w:p w14:paraId="22380249"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59BC6B08" w14:textId="77777777" w:rsidR="00331DDE" w:rsidRPr="00331DDE" w:rsidRDefault="00331DDE" w:rsidP="00331DDE">
      <w:pPr>
        <w:numPr>
          <w:ilvl w:val="0"/>
          <w:numId w:val="44"/>
        </w:numPr>
        <w:ind w:left="0" w:firstLine="0"/>
        <w:rPr>
          <w:rFonts w:eastAsia="Times New Roman" w:cstheme="minorHAnsi"/>
          <w:color w:val="222222"/>
          <w:sz w:val="22"/>
          <w:szCs w:val="22"/>
        </w:rPr>
      </w:pPr>
      <w:r w:rsidRPr="00331DDE">
        <w:rPr>
          <w:rFonts w:eastAsia="Times New Roman" w:cstheme="minorHAnsi"/>
          <w:color w:val="222222"/>
          <w:sz w:val="22"/>
          <w:szCs w:val="22"/>
        </w:rPr>
        <w:lastRenderedPageBreak/>
        <w:t>Patient must be male and must not have a bone age of 15.5 years or more; OR</w:t>
      </w:r>
    </w:p>
    <w:p w14:paraId="2C62FACF" w14:textId="77777777" w:rsidR="00331DDE" w:rsidRPr="00331DDE" w:rsidRDefault="00331DDE" w:rsidP="00331DDE">
      <w:pPr>
        <w:numPr>
          <w:ilvl w:val="0"/>
          <w:numId w:val="44"/>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be female and must not have a bone age of 13.5 years or more.</w:t>
      </w:r>
    </w:p>
    <w:p w14:paraId="18DDF2B7" w14:textId="77777777" w:rsidR="00331DDE" w:rsidRPr="00202826" w:rsidRDefault="00331DDE" w:rsidP="00331DDE">
      <w:pPr>
        <w:rPr>
          <w:rFonts w:eastAsia="Times New Roman" w:cstheme="minorHAnsi"/>
          <w:b/>
          <w:bCs/>
          <w:color w:val="222222"/>
          <w:sz w:val="22"/>
          <w:szCs w:val="22"/>
          <w:bdr w:val="none" w:sz="0" w:space="0" w:color="auto" w:frame="1"/>
        </w:rPr>
      </w:pPr>
    </w:p>
    <w:p w14:paraId="6C3C9610" w14:textId="6B5AE3B1"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Treatment criteria:</w:t>
      </w:r>
    </w:p>
    <w:p w14:paraId="6B55CCDC" w14:textId="77777777" w:rsidR="00331DDE" w:rsidRPr="00331DDE" w:rsidRDefault="00331DDE" w:rsidP="00331DDE">
      <w:pPr>
        <w:numPr>
          <w:ilvl w:val="0"/>
          <w:numId w:val="45"/>
        </w:numPr>
        <w:ind w:left="0" w:firstLine="0"/>
        <w:rPr>
          <w:rFonts w:eastAsia="Times New Roman" w:cstheme="minorHAnsi"/>
          <w:color w:val="222222"/>
          <w:sz w:val="22"/>
          <w:szCs w:val="22"/>
        </w:rPr>
      </w:pPr>
      <w:r w:rsidRPr="00331DDE">
        <w:rPr>
          <w:rFonts w:eastAsia="Times New Roman" w:cstheme="minorHAnsi"/>
          <w:color w:val="222222"/>
          <w:sz w:val="22"/>
          <w:szCs w:val="22"/>
        </w:rPr>
        <w:t>Must be treated by a specialist or consultant physician in paediatric endocrinology; OR</w:t>
      </w:r>
    </w:p>
    <w:p w14:paraId="55A1073C" w14:textId="77777777" w:rsidR="00331DDE" w:rsidRPr="00331DDE" w:rsidRDefault="00331DDE" w:rsidP="00331DDE">
      <w:pPr>
        <w:numPr>
          <w:ilvl w:val="0"/>
          <w:numId w:val="45"/>
        </w:numPr>
        <w:ind w:left="0" w:firstLine="0"/>
        <w:rPr>
          <w:rFonts w:eastAsia="Times New Roman" w:cstheme="minorHAnsi"/>
          <w:color w:val="222222"/>
          <w:sz w:val="22"/>
          <w:szCs w:val="22"/>
        </w:rPr>
      </w:pPr>
      <w:r w:rsidRPr="00331DDE">
        <w:rPr>
          <w:rFonts w:eastAsia="Times New Roman" w:cstheme="minorHAnsi"/>
          <w:color w:val="222222"/>
          <w:sz w:val="22"/>
          <w:szCs w:val="22"/>
        </w:rPr>
        <w:t>Must be treated by a specialist or consultant physician in general paediatrics in consultation with a nominated specialist or consultant physician in paediatric endocrinology.</w:t>
      </w:r>
    </w:p>
    <w:p w14:paraId="1D9F779E"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The maximum duration of the initial treatment phase is 32 weeks. Prescribers must determine an appropriate weekly dose in accordance with the dosing arrangements detailed in the </w:t>
      </w:r>
      <w:r w:rsidRPr="00331DDE">
        <w:rPr>
          <w:rFonts w:eastAsia="Times New Roman" w:cstheme="minorHAnsi"/>
          <w:b/>
          <w:bCs/>
          <w:color w:val="222222"/>
          <w:sz w:val="22"/>
          <w:szCs w:val="22"/>
          <w:bdr w:val="none" w:sz="0" w:space="0" w:color="auto" w:frame="1"/>
        </w:rPr>
        <w:t>National Health (Growth Hormone Program) Special Arrangement 2015</w:t>
      </w:r>
      <w:r w:rsidRPr="00331DDE">
        <w:rPr>
          <w:rFonts w:eastAsia="Times New Roman" w:cstheme="minorHAnsi"/>
          <w:color w:val="222222"/>
          <w:sz w:val="22"/>
          <w:szCs w:val="22"/>
        </w:rPr>
        <w:t> and request the appropriate number of vials/cartridges required to provide sufficient drug for 16 weeks' worth of treatment (with up to 1 repeat allowed).</w:t>
      </w:r>
    </w:p>
    <w:p w14:paraId="09BCB4AE"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The authority application must be in writing and must include:</w:t>
      </w:r>
    </w:p>
    <w:p w14:paraId="276C273E"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1. A completed authority prescription form; AND</w:t>
      </w:r>
    </w:p>
    <w:p w14:paraId="7B2A398E"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2. A completed Growth Hormone Authority Application Supporting Information Form for initial treatment; AND</w:t>
      </w:r>
    </w:p>
    <w:p w14:paraId="1DEEFA18"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3. (a) A minimum of 12 months of recent growth data (height and weight) at intervals no greater than six months. The most recent data must not be older than three months; OR</w:t>
      </w:r>
    </w:p>
    <w:p w14:paraId="73FD27C8"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(b) A minimum of 6 months of recent growth data (height and weight) for older children (males chronological age 12 and over or bone age 10 and over, females chronological age 10 and over or bone age 8 and over). The most recent data must not be older than three months; AND</w:t>
      </w:r>
    </w:p>
    <w:p w14:paraId="51EC2548"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4. A bone age result performed within the last 12 months (except for a patient whose chronological age is 2.5 years or less); AND</w:t>
      </w:r>
    </w:p>
    <w:p w14:paraId="6B5F1E49"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5. Evidence of biochemical growth hormone deficiency, including the type of tests performed and peak growth hormone concentrations; AND</w:t>
      </w:r>
    </w:p>
    <w:p w14:paraId="3B19BC46"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6. Confirmation that the patient has precocious puberty; AND</w:t>
      </w:r>
    </w:p>
    <w:p w14:paraId="655896AE"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7. Confirmation that the patient is undergoing Gonadotropin Releasing Hormone agonist therapy, for pubertal suppression; AND</w:t>
      </w:r>
    </w:p>
    <w:p w14:paraId="12997578"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8. The proprietary name (brand), form and strength of somatropin requested, and the number of vials/cartridges required to provide sufficient drug for 16 weeks' worth of treatment (with up to 1 repeat allowed).</w:t>
      </w:r>
    </w:p>
    <w:p w14:paraId="243C316C"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Prescribers must keep a copy of any clinical records relating to the prescription, including such records required to demonstrate that the prescription was written in compliance with any relevant circumstances and/or purposes. These records must be kept for 2 years after the date the prescription to which the records relate is written.</w:t>
      </w:r>
    </w:p>
    <w:p w14:paraId="3982A306" w14:textId="77777777" w:rsidR="00331DDE" w:rsidRPr="00331DDE" w:rsidRDefault="00331DDE">
      <w:pPr>
        <w:rPr>
          <w:rFonts w:eastAsia="Times New Roman" w:cstheme="minorHAnsi"/>
          <w:color w:val="FF0000"/>
          <w:sz w:val="20"/>
          <w:szCs w:val="20"/>
        </w:rPr>
      </w:pPr>
      <w:r w:rsidRPr="00202826">
        <w:rPr>
          <w:rFonts w:eastAsia="Times New Roman" w:cstheme="minorHAnsi"/>
          <w:color w:val="FF0000"/>
          <w:sz w:val="22"/>
          <w:szCs w:val="22"/>
        </w:rPr>
        <w:br w:type="page"/>
      </w:r>
    </w:p>
    <w:p w14:paraId="30F5070A" w14:textId="28254988" w:rsidR="00331DDE" w:rsidRPr="00331DDE" w:rsidRDefault="00331DDE" w:rsidP="00331DDE">
      <w:pPr>
        <w:pStyle w:val="Heading1"/>
        <w:rPr>
          <w:rFonts w:asciiTheme="minorHAnsi" w:hAnsiTheme="minorHAnsi" w:cstheme="minorHAnsi"/>
        </w:rPr>
      </w:pPr>
      <w:bookmarkStart w:id="5" w:name="_Toc13510364"/>
      <w:r w:rsidRPr="00331DDE">
        <w:rPr>
          <w:rFonts w:asciiTheme="minorHAnsi" w:hAnsiTheme="minorHAnsi" w:cstheme="minorHAnsi"/>
        </w:rPr>
        <w:lastRenderedPageBreak/>
        <w:t>Hypothalamic-pituitary disease secondary to a structural lesion, with hypothalamic obesity driven growth</w:t>
      </w:r>
      <w:bookmarkEnd w:id="5"/>
    </w:p>
    <w:p w14:paraId="431BDF9A"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Treatment Phase: Initial treatment</w:t>
      </w:r>
    </w:p>
    <w:p w14:paraId="60EF23C6" w14:textId="77777777" w:rsidR="00331DDE" w:rsidRPr="00202826" w:rsidRDefault="00331DDE" w:rsidP="00331DDE">
      <w:pPr>
        <w:rPr>
          <w:rFonts w:eastAsia="Times New Roman" w:cstheme="minorHAnsi"/>
          <w:b/>
          <w:bCs/>
          <w:color w:val="222222"/>
          <w:sz w:val="22"/>
          <w:szCs w:val="22"/>
          <w:bdr w:val="none" w:sz="0" w:space="0" w:color="auto" w:frame="1"/>
        </w:rPr>
      </w:pPr>
    </w:p>
    <w:p w14:paraId="1F5DF00A" w14:textId="15B5223C"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Clinical criteria:</w:t>
      </w:r>
    </w:p>
    <w:p w14:paraId="71CE61FB" w14:textId="77777777" w:rsidR="00331DDE" w:rsidRPr="00331DDE" w:rsidRDefault="00331DDE" w:rsidP="00331DDE">
      <w:pPr>
        <w:numPr>
          <w:ilvl w:val="0"/>
          <w:numId w:val="46"/>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have a structural lesion that is not neoplastic; OR</w:t>
      </w:r>
    </w:p>
    <w:p w14:paraId="1591DCC9" w14:textId="77777777" w:rsidR="00331DDE" w:rsidRPr="00331DDE" w:rsidRDefault="00331DDE" w:rsidP="00331DDE">
      <w:pPr>
        <w:numPr>
          <w:ilvl w:val="0"/>
          <w:numId w:val="46"/>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have had a structural lesion that was neoplastic and have undergone a 12 month period of observation following completion of treatment for the structural lesion (all treatment); OR</w:t>
      </w:r>
    </w:p>
    <w:p w14:paraId="17CFD593" w14:textId="77777777" w:rsidR="00331DDE" w:rsidRPr="00331DDE" w:rsidRDefault="00331DDE" w:rsidP="00331DDE">
      <w:pPr>
        <w:numPr>
          <w:ilvl w:val="0"/>
          <w:numId w:val="46"/>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have a structural lesion that is neoplastic, have received medical advice that it is unsafe to treat the structural lesion, and have undergone a 12 month period of observation since initial diagnosis of the structural lesion,</w:t>
      </w:r>
    </w:p>
    <w:p w14:paraId="1B4137FB"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300D47EA" w14:textId="77777777" w:rsidR="00331DDE" w:rsidRPr="00331DDE" w:rsidRDefault="00331DDE" w:rsidP="00331DDE">
      <w:pPr>
        <w:numPr>
          <w:ilvl w:val="0"/>
          <w:numId w:val="47"/>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have evidence of biochemical growth hormone deficiency, with a peak serum growth hormone concentration less than 10 mU/L or less than or equal to 3.3 micrograms per litre in response to 2 pharmacological growth hormone stimulation tests (e.g. arginine, clonidine, glucagon, insulin); OR</w:t>
      </w:r>
    </w:p>
    <w:p w14:paraId="088CAA89" w14:textId="77777777" w:rsidR="00331DDE" w:rsidRPr="00331DDE" w:rsidRDefault="00331DDE" w:rsidP="00331DDE">
      <w:pPr>
        <w:numPr>
          <w:ilvl w:val="0"/>
          <w:numId w:val="47"/>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have evidence of biochemical growth hormone deficiency, with a peak serum growth hormone concentration less than 10 mU/L or less than or equal to 3.3 micrograms per litre in response to 1 pharmacological growth hormone stimulation test (e.g. arginine, clonidine, glucagon, insulin) and 1 physiological growth hormone stimulation test (e.g. sleep, exercise); OR</w:t>
      </w:r>
    </w:p>
    <w:p w14:paraId="17770B09" w14:textId="77777777" w:rsidR="00331DDE" w:rsidRPr="00331DDE" w:rsidRDefault="00331DDE" w:rsidP="00331DDE">
      <w:pPr>
        <w:numPr>
          <w:ilvl w:val="0"/>
          <w:numId w:val="47"/>
        </w:numPr>
        <w:ind w:left="0" w:firstLine="0"/>
        <w:rPr>
          <w:rFonts w:eastAsia="Times New Roman" w:cstheme="minorHAnsi"/>
          <w:color w:val="222222"/>
          <w:sz w:val="22"/>
          <w:szCs w:val="22"/>
        </w:rPr>
      </w:pPr>
      <w:r w:rsidRPr="00331DDE">
        <w:rPr>
          <w:rFonts w:eastAsia="Times New Roman" w:cstheme="minorHAnsi"/>
          <w:color w:val="222222"/>
          <w:sz w:val="22"/>
          <w:szCs w:val="22"/>
        </w:rPr>
        <w:t xml:space="preserve">Patient must have evidence of biochemical growth hormone deficiency, with a peak serum growth hormone concentration less than 10 mU/L or less than or equal to 3.3 micrograms per litre in response to 1 growth hormone stimulation test (pharmacological or physiological e.g. arginine, clonidine, glucagon, insulin, sleep, exercise) with other evidence of growth hormone deficiency, including septo-optic dysplasia (absent corpus callosum and/or septum pellucidum), midline abnormality including optic nerve hypoplasia, cleft lip and palate, midfacial hypoplasia and central incisor, ectopic and/or absent posterior pituitary bright spot, absent empty </w:t>
      </w:r>
      <w:proofErr w:type="spellStart"/>
      <w:r w:rsidRPr="00331DDE">
        <w:rPr>
          <w:rFonts w:eastAsia="Times New Roman" w:cstheme="minorHAnsi"/>
          <w:color w:val="222222"/>
          <w:sz w:val="22"/>
          <w:szCs w:val="22"/>
        </w:rPr>
        <w:t>sella</w:t>
      </w:r>
      <w:proofErr w:type="spellEnd"/>
      <w:r w:rsidRPr="00331DDE">
        <w:rPr>
          <w:rFonts w:eastAsia="Times New Roman" w:cstheme="minorHAnsi"/>
          <w:color w:val="222222"/>
          <w:sz w:val="22"/>
          <w:szCs w:val="22"/>
        </w:rPr>
        <w:t xml:space="preserve"> syndrome, hypoplastic anterior pituitary gland and/or pituitary stalk/infundibulum, and genetically proven biochemical growth hormone deficiency either isolated or as part of hypopituitarism in association with pituitary deficits (ACTH, TSH, GnRH or vasopressin/ADH deficiency); OR</w:t>
      </w:r>
    </w:p>
    <w:p w14:paraId="4CEF13C3" w14:textId="77777777" w:rsidR="00331DDE" w:rsidRPr="00331DDE" w:rsidRDefault="00331DDE" w:rsidP="00331DDE">
      <w:pPr>
        <w:numPr>
          <w:ilvl w:val="0"/>
          <w:numId w:val="47"/>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have evidence of biochemical growth hormone deficiency, with a peak serum growth hormone concentration less than 10 mU/L or less than or equal to 3.3 micrograms per litre in response to 1 growth hormone stimulation test (pharmacological or physiological e.g. arginine, clonidine, glucagon, insulin, sleep, exercise) and low plasma IGF-1 levels; OR</w:t>
      </w:r>
    </w:p>
    <w:p w14:paraId="0AD60239" w14:textId="77777777" w:rsidR="00331DDE" w:rsidRPr="00331DDE" w:rsidRDefault="00331DDE" w:rsidP="00331DDE">
      <w:pPr>
        <w:numPr>
          <w:ilvl w:val="0"/>
          <w:numId w:val="47"/>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have evidence of biochemical growth hormone deficiency, with a peak serum growth hormone concentration less than 10 mU/L or less than or equal to 3.3 micrograms per litre in response to 1 growth hormone stimulation test (pharmacological or physiological e.g. arginine, clonidine, glucagon, insulin, sleep, exercise) and low plasma IGFBP-3 levels,</w:t>
      </w:r>
    </w:p>
    <w:p w14:paraId="4F200B24"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1B583407" w14:textId="77777777" w:rsidR="00331DDE" w:rsidRPr="00331DDE" w:rsidRDefault="00331DDE" w:rsidP="00331DDE">
      <w:pPr>
        <w:numPr>
          <w:ilvl w:val="0"/>
          <w:numId w:val="48"/>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have other hypothalamic/pituitary hormone deficits (includes ACTH, TSH, GnRH and/or vasopressin/ADH deficiencies),</w:t>
      </w:r>
    </w:p>
    <w:p w14:paraId="21D0C31E"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60DA0FD1" w14:textId="77777777" w:rsidR="00331DDE" w:rsidRPr="00331DDE" w:rsidRDefault="00331DDE" w:rsidP="00331DDE">
      <w:pPr>
        <w:numPr>
          <w:ilvl w:val="0"/>
          <w:numId w:val="49"/>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have hypothalamic obesity,</w:t>
      </w:r>
    </w:p>
    <w:p w14:paraId="289DAE6D"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44395BD9" w14:textId="77777777" w:rsidR="00331DDE" w:rsidRPr="00331DDE" w:rsidRDefault="00331DDE" w:rsidP="00331DDE">
      <w:pPr>
        <w:numPr>
          <w:ilvl w:val="0"/>
          <w:numId w:val="50"/>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have a growth velocity above the 25</w:t>
      </w:r>
      <w:r w:rsidRPr="00331DDE">
        <w:rPr>
          <w:rFonts w:eastAsia="Times New Roman" w:cstheme="minorHAnsi"/>
          <w:color w:val="222222"/>
          <w:sz w:val="22"/>
          <w:szCs w:val="22"/>
          <w:bdr w:val="none" w:sz="0" w:space="0" w:color="auto" w:frame="1"/>
          <w:vertAlign w:val="superscript"/>
        </w:rPr>
        <w:t>th</w:t>
      </w:r>
      <w:r w:rsidRPr="00331DDE">
        <w:rPr>
          <w:rFonts w:eastAsia="Times New Roman" w:cstheme="minorHAnsi"/>
          <w:color w:val="222222"/>
          <w:sz w:val="22"/>
          <w:szCs w:val="22"/>
        </w:rPr>
        <w:t> percentile for bone age and sex measured over a 12 month interval (or a 6 month interval for an older child); OR</w:t>
      </w:r>
    </w:p>
    <w:p w14:paraId="67855BE9" w14:textId="77777777" w:rsidR="00331DDE" w:rsidRPr="00331DDE" w:rsidRDefault="00331DDE" w:rsidP="00331DDE">
      <w:pPr>
        <w:numPr>
          <w:ilvl w:val="0"/>
          <w:numId w:val="50"/>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have an annual growth velocity of greater than 14 cm per year if the patient has a chronological age of 2 years or less; OR</w:t>
      </w:r>
    </w:p>
    <w:p w14:paraId="0223EFCF" w14:textId="77777777" w:rsidR="00331DDE" w:rsidRPr="00331DDE" w:rsidRDefault="00331DDE" w:rsidP="00331DDE">
      <w:pPr>
        <w:numPr>
          <w:ilvl w:val="0"/>
          <w:numId w:val="50"/>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have an annual growth velocity of greater than 8 cm per year if the patient has a bone or chronological age of 2.5 years or less,</w:t>
      </w:r>
    </w:p>
    <w:p w14:paraId="37B39CD6"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lastRenderedPageBreak/>
        <w:t>AND</w:t>
      </w:r>
    </w:p>
    <w:p w14:paraId="00947FE9" w14:textId="77777777" w:rsidR="00331DDE" w:rsidRPr="00331DDE" w:rsidRDefault="00331DDE" w:rsidP="00331DDE">
      <w:pPr>
        <w:numPr>
          <w:ilvl w:val="0"/>
          <w:numId w:val="51"/>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not have diabetes mellitus,</w:t>
      </w:r>
    </w:p>
    <w:p w14:paraId="5BFBC0AB"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641B54B5" w14:textId="77777777" w:rsidR="00331DDE" w:rsidRPr="00331DDE" w:rsidRDefault="00331DDE" w:rsidP="00331DDE">
      <w:pPr>
        <w:numPr>
          <w:ilvl w:val="0"/>
          <w:numId w:val="52"/>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not have a condition with a known risk of malignancy including chromosomal abnormalities such as Down and Bloom syndromes,</w:t>
      </w:r>
    </w:p>
    <w:p w14:paraId="078DA156"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5F732433" w14:textId="77777777" w:rsidR="00331DDE" w:rsidRPr="00331DDE" w:rsidRDefault="00331DDE" w:rsidP="00331DDE">
      <w:pPr>
        <w:numPr>
          <w:ilvl w:val="0"/>
          <w:numId w:val="53"/>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not have an active tumour or evidence of tumour growth or activity,</w:t>
      </w:r>
    </w:p>
    <w:p w14:paraId="5F40AF10"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4F88E04A" w14:textId="77777777" w:rsidR="00331DDE" w:rsidRPr="00331DDE" w:rsidRDefault="00331DDE" w:rsidP="00331DDE">
      <w:pPr>
        <w:numPr>
          <w:ilvl w:val="0"/>
          <w:numId w:val="54"/>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not have previously received treatment under the PBS S100 Growth Hormone Program,</w:t>
      </w:r>
    </w:p>
    <w:p w14:paraId="51114ACD"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1F6F8519" w14:textId="77777777" w:rsidR="00331DDE" w:rsidRPr="00331DDE" w:rsidRDefault="00331DDE" w:rsidP="00331DDE">
      <w:pPr>
        <w:numPr>
          <w:ilvl w:val="0"/>
          <w:numId w:val="55"/>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be male and must not have a bone age of 15.5 years or more; OR</w:t>
      </w:r>
    </w:p>
    <w:p w14:paraId="1451D5C5" w14:textId="77777777" w:rsidR="00331DDE" w:rsidRPr="00331DDE" w:rsidRDefault="00331DDE" w:rsidP="00331DDE">
      <w:pPr>
        <w:numPr>
          <w:ilvl w:val="0"/>
          <w:numId w:val="55"/>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be female and must not have a bone age of 13.5 years or more.</w:t>
      </w:r>
    </w:p>
    <w:p w14:paraId="10025716" w14:textId="77777777" w:rsidR="00331DDE" w:rsidRPr="00202826" w:rsidRDefault="00331DDE" w:rsidP="00331DDE">
      <w:pPr>
        <w:rPr>
          <w:rFonts w:eastAsia="Times New Roman" w:cstheme="minorHAnsi"/>
          <w:b/>
          <w:bCs/>
          <w:color w:val="222222"/>
          <w:sz w:val="22"/>
          <w:szCs w:val="22"/>
          <w:bdr w:val="none" w:sz="0" w:space="0" w:color="auto" w:frame="1"/>
        </w:rPr>
      </w:pPr>
    </w:p>
    <w:p w14:paraId="22829732" w14:textId="513C43D0"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Treatment criteria:</w:t>
      </w:r>
    </w:p>
    <w:p w14:paraId="06EF2E96" w14:textId="77777777" w:rsidR="00331DDE" w:rsidRPr="00331DDE" w:rsidRDefault="00331DDE" w:rsidP="00331DDE">
      <w:pPr>
        <w:numPr>
          <w:ilvl w:val="0"/>
          <w:numId w:val="56"/>
        </w:numPr>
        <w:ind w:left="0" w:firstLine="0"/>
        <w:rPr>
          <w:rFonts w:eastAsia="Times New Roman" w:cstheme="minorHAnsi"/>
          <w:color w:val="222222"/>
          <w:sz w:val="22"/>
          <w:szCs w:val="22"/>
        </w:rPr>
      </w:pPr>
      <w:r w:rsidRPr="00331DDE">
        <w:rPr>
          <w:rFonts w:eastAsia="Times New Roman" w:cstheme="minorHAnsi"/>
          <w:color w:val="222222"/>
          <w:sz w:val="22"/>
          <w:szCs w:val="22"/>
        </w:rPr>
        <w:t>Must be treated by a specialist or consultant physician in paediatric endocrinology; OR</w:t>
      </w:r>
    </w:p>
    <w:p w14:paraId="20DAE6AB" w14:textId="77777777" w:rsidR="00331DDE" w:rsidRPr="00331DDE" w:rsidRDefault="00331DDE" w:rsidP="00331DDE">
      <w:pPr>
        <w:numPr>
          <w:ilvl w:val="0"/>
          <w:numId w:val="56"/>
        </w:numPr>
        <w:ind w:left="0" w:firstLine="0"/>
        <w:rPr>
          <w:rFonts w:eastAsia="Times New Roman" w:cstheme="minorHAnsi"/>
          <w:color w:val="222222"/>
          <w:sz w:val="22"/>
          <w:szCs w:val="22"/>
        </w:rPr>
      </w:pPr>
      <w:r w:rsidRPr="00331DDE">
        <w:rPr>
          <w:rFonts w:eastAsia="Times New Roman" w:cstheme="minorHAnsi"/>
          <w:color w:val="222222"/>
          <w:sz w:val="22"/>
          <w:szCs w:val="22"/>
        </w:rPr>
        <w:t>Must be treated by a specialist or consultant physician in general paediatrics in consultation with a nominated specialist or consultant physician in paediatric endocrinology.</w:t>
      </w:r>
    </w:p>
    <w:p w14:paraId="08CFEE1D"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An older child is defined as a male with a chronological age of at least 12 years or a bone age of at least 10 years, or a female with a chronological age of at least 10 years or a bone age of at least 8 years.</w:t>
      </w:r>
    </w:p>
    <w:p w14:paraId="2BEE86A8"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The maximum duration of the initial treatment phase is 32 weeks. Prescribers must determine an appropriate weekly dose in accordance with the dosing arrangements detailed in the </w:t>
      </w:r>
      <w:r w:rsidRPr="00331DDE">
        <w:rPr>
          <w:rFonts w:eastAsia="Times New Roman" w:cstheme="minorHAnsi"/>
          <w:b/>
          <w:bCs/>
          <w:color w:val="222222"/>
          <w:sz w:val="22"/>
          <w:szCs w:val="22"/>
          <w:bdr w:val="none" w:sz="0" w:space="0" w:color="auto" w:frame="1"/>
        </w:rPr>
        <w:t>National Health (Growth Hormone Program) Special Arrangement 2015</w:t>
      </w:r>
      <w:r w:rsidRPr="00331DDE">
        <w:rPr>
          <w:rFonts w:eastAsia="Times New Roman" w:cstheme="minorHAnsi"/>
          <w:color w:val="222222"/>
          <w:sz w:val="22"/>
          <w:szCs w:val="22"/>
        </w:rPr>
        <w:t> and request the appropriate number of vials/cartridges required to provide sufficient drug for 16 weeks' worth of treatment (with up to 1 repeat allowed).</w:t>
      </w:r>
    </w:p>
    <w:p w14:paraId="78B0B6BE"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The authority application must be in writing and must include:</w:t>
      </w:r>
    </w:p>
    <w:p w14:paraId="2E5F7D74"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1. A completed authority prescription form; AND</w:t>
      </w:r>
    </w:p>
    <w:p w14:paraId="205C8A4F"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2. A completed Growth Hormone Authority Application Supporting Information Form for initial treatment; AND</w:t>
      </w:r>
    </w:p>
    <w:p w14:paraId="1932B0E6"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3. A minimum of 12 months of recent growth data (height and weight measurements) or a minimum of 6 months of recent growth data for an older child. The most recent data must not be more than three months old at the time of application; AND</w:t>
      </w:r>
    </w:p>
    <w:p w14:paraId="48B923DF"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4. A bone age result performed within the last 12 months (except for a patient whose chronological age is 2.5 years or less); AND</w:t>
      </w:r>
    </w:p>
    <w:p w14:paraId="01A20452"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5. Evidence of biochemical growth hormone deficiency, including the type of tests performed and peak growth hormone concentrations; AND</w:t>
      </w:r>
    </w:p>
    <w:p w14:paraId="3F8C7D41"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6. (a) Confirmation that the patient has a structural lesion that is not neoplastic; OR</w:t>
      </w:r>
    </w:p>
    <w:p w14:paraId="0BADFAB0"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(b) Confirmation that the patient had a structural lesion that was neoplastic and has undergone a 12 month period of observation following completion of treatment for the structural lesion (all treatment); OR</w:t>
      </w:r>
    </w:p>
    <w:p w14:paraId="2C76E93C"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(c) Confirmation that the patient has a structural lesion that is neoplastic, has received medical advice that it is unsafe to treat the structural lesion, and has undergone a 12 month period of observation since initial diagnosis of the structural lesion; AND</w:t>
      </w:r>
    </w:p>
    <w:p w14:paraId="68DE7E95"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7. Confirmation that the patient has other hypothalamic/pituitary hormone deficits; AND</w:t>
      </w:r>
    </w:p>
    <w:p w14:paraId="3AAB0786"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8. Confirmation that the patient has hypothalamic obesity; AND</w:t>
      </w:r>
    </w:p>
    <w:p w14:paraId="4E4C8103"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9. The proprietary name (brand), form and strength of somatropin requested, and the number of vials/cartridges required to provide sufficient drug for 16 weeks' worth of treatment (with up to 1 repeat allowed).</w:t>
      </w:r>
    </w:p>
    <w:p w14:paraId="67FE280E"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 xml:space="preserve">Prescribers must keep a copy of any clinical records relating to the prescription, including such records required to demonstrate that the prescription was written in compliance with any relevant </w:t>
      </w:r>
      <w:r w:rsidRPr="00331DDE">
        <w:rPr>
          <w:rFonts w:eastAsia="Times New Roman" w:cstheme="minorHAnsi"/>
          <w:color w:val="222222"/>
          <w:sz w:val="22"/>
          <w:szCs w:val="22"/>
        </w:rPr>
        <w:lastRenderedPageBreak/>
        <w:t>circumstances and/or purposes. These records must be kept for 2 years after the date the prescription to which the records relate is written.</w:t>
      </w:r>
    </w:p>
    <w:p w14:paraId="1C53845E"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Testing for biochemical growth hormone deficiency must have been performed at a time when all other pituitary hormone deficits were being adequately replaced.</w:t>
      </w:r>
    </w:p>
    <w:p w14:paraId="3027AFFB" w14:textId="77777777" w:rsidR="00331DDE" w:rsidRPr="00202826" w:rsidRDefault="00331DDE">
      <w:pPr>
        <w:rPr>
          <w:rFonts w:eastAsia="Times New Roman" w:cstheme="minorHAnsi"/>
          <w:color w:val="FF0000"/>
          <w:sz w:val="22"/>
          <w:szCs w:val="22"/>
        </w:rPr>
      </w:pPr>
      <w:r w:rsidRPr="00202826">
        <w:rPr>
          <w:rFonts w:eastAsia="Times New Roman" w:cstheme="minorHAnsi"/>
          <w:color w:val="FF0000"/>
          <w:sz w:val="22"/>
          <w:szCs w:val="22"/>
        </w:rPr>
        <w:br w:type="page"/>
      </w:r>
    </w:p>
    <w:p w14:paraId="539C282E" w14:textId="63B4F4FE" w:rsidR="00331DDE" w:rsidRPr="00331DDE" w:rsidRDefault="00331DDE" w:rsidP="00331DDE">
      <w:pPr>
        <w:pStyle w:val="Heading1"/>
        <w:rPr>
          <w:rFonts w:asciiTheme="minorHAnsi" w:hAnsiTheme="minorHAnsi" w:cstheme="minorHAnsi"/>
        </w:rPr>
      </w:pPr>
      <w:bookmarkStart w:id="6" w:name="_Toc13510365"/>
      <w:r w:rsidRPr="00331DDE">
        <w:rPr>
          <w:rFonts w:asciiTheme="minorHAnsi" w:hAnsiTheme="minorHAnsi" w:cstheme="minorHAnsi"/>
        </w:rPr>
        <w:lastRenderedPageBreak/>
        <w:t>Short stature associated with Turner syndrome</w:t>
      </w:r>
      <w:bookmarkEnd w:id="6"/>
    </w:p>
    <w:p w14:paraId="28BE43C8"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Treatment Phase: Initial treatment</w:t>
      </w:r>
    </w:p>
    <w:p w14:paraId="0438C683" w14:textId="77777777" w:rsidR="00331DDE" w:rsidRPr="00202826" w:rsidRDefault="00331DDE" w:rsidP="00331DDE">
      <w:pPr>
        <w:rPr>
          <w:rFonts w:eastAsia="Times New Roman" w:cstheme="minorHAnsi"/>
          <w:b/>
          <w:bCs/>
          <w:color w:val="222222"/>
          <w:sz w:val="22"/>
          <w:szCs w:val="22"/>
          <w:bdr w:val="none" w:sz="0" w:space="0" w:color="auto" w:frame="1"/>
        </w:rPr>
      </w:pPr>
    </w:p>
    <w:p w14:paraId="263B05AE" w14:textId="44D39646"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Treatment criteria:</w:t>
      </w:r>
    </w:p>
    <w:p w14:paraId="4155BCA0" w14:textId="77777777" w:rsidR="00331DDE" w:rsidRPr="00331DDE" w:rsidRDefault="00331DDE" w:rsidP="00331DDE">
      <w:pPr>
        <w:numPr>
          <w:ilvl w:val="0"/>
          <w:numId w:val="57"/>
        </w:numPr>
        <w:ind w:left="0" w:firstLine="0"/>
        <w:rPr>
          <w:rFonts w:eastAsia="Times New Roman" w:cstheme="minorHAnsi"/>
          <w:color w:val="222222"/>
          <w:sz w:val="22"/>
          <w:szCs w:val="22"/>
        </w:rPr>
      </w:pPr>
      <w:r w:rsidRPr="00331DDE">
        <w:rPr>
          <w:rFonts w:eastAsia="Times New Roman" w:cstheme="minorHAnsi"/>
          <w:color w:val="222222"/>
          <w:sz w:val="22"/>
          <w:szCs w:val="22"/>
        </w:rPr>
        <w:t>Must be treated by a specialist or consultant physician in paediatric endocrinology; OR</w:t>
      </w:r>
    </w:p>
    <w:p w14:paraId="11322CDB" w14:textId="77777777" w:rsidR="00331DDE" w:rsidRPr="00331DDE" w:rsidRDefault="00331DDE" w:rsidP="00331DDE">
      <w:pPr>
        <w:numPr>
          <w:ilvl w:val="0"/>
          <w:numId w:val="57"/>
        </w:numPr>
        <w:ind w:left="0" w:firstLine="0"/>
        <w:rPr>
          <w:rFonts w:eastAsia="Times New Roman" w:cstheme="minorHAnsi"/>
          <w:color w:val="222222"/>
          <w:sz w:val="22"/>
          <w:szCs w:val="22"/>
        </w:rPr>
      </w:pPr>
      <w:r w:rsidRPr="00331DDE">
        <w:rPr>
          <w:rFonts w:eastAsia="Times New Roman" w:cstheme="minorHAnsi"/>
          <w:color w:val="222222"/>
          <w:sz w:val="22"/>
          <w:szCs w:val="22"/>
        </w:rPr>
        <w:t>Must be treated by a specialist or consultant physician in general paediatrics in consultation with a nominated specialist or consultant physician in paediatric endocrinology.</w:t>
      </w:r>
    </w:p>
    <w:p w14:paraId="4CEF8228"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Clinical criteria:</w:t>
      </w:r>
    </w:p>
    <w:p w14:paraId="1B612601" w14:textId="77777777" w:rsidR="00331DDE" w:rsidRPr="00331DDE" w:rsidRDefault="00331DDE" w:rsidP="00331DDE">
      <w:pPr>
        <w:numPr>
          <w:ilvl w:val="0"/>
          <w:numId w:val="58"/>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have a current height at or below the 95</w:t>
      </w:r>
      <w:r w:rsidRPr="00331DDE">
        <w:rPr>
          <w:rFonts w:eastAsia="Times New Roman" w:cstheme="minorHAnsi"/>
          <w:color w:val="222222"/>
          <w:sz w:val="22"/>
          <w:szCs w:val="22"/>
          <w:bdr w:val="none" w:sz="0" w:space="0" w:color="auto" w:frame="1"/>
          <w:vertAlign w:val="superscript"/>
        </w:rPr>
        <w:t>th</w:t>
      </w:r>
      <w:r w:rsidRPr="00331DDE">
        <w:rPr>
          <w:rFonts w:eastAsia="Times New Roman" w:cstheme="minorHAnsi"/>
          <w:color w:val="222222"/>
          <w:sz w:val="22"/>
          <w:szCs w:val="22"/>
        </w:rPr>
        <w:t> percentile for age on the Turner syndrome growth curve for girls,</w:t>
      </w:r>
    </w:p>
    <w:p w14:paraId="78FBB64C"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6B8D7BD1" w14:textId="77777777" w:rsidR="00331DDE" w:rsidRPr="00331DDE" w:rsidRDefault="00331DDE" w:rsidP="00331DDE">
      <w:pPr>
        <w:numPr>
          <w:ilvl w:val="0"/>
          <w:numId w:val="59"/>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have diagnostic results consistent with Turner syndrome (the condition must be genetically proven), defined as a loss of a whole X chromosome in all cells (45X), and gender of rearing is female; OR</w:t>
      </w:r>
    </w:p>
    <w:p w14:paraId="2DD3E4A8" w14:textId="77777777" w:rsidR="00331DDE" w:rsidRPr="00331DDE" w:rsidRDefault="00331DDE" w:rsidP="00331DDE">
      <w:pPr>
        <w:numPr>
          <w:ilvl w:val="0"/>
          <w:numId w:val="59"/>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have diagnostic results consistent with Turner syndrome (the condition must be genetically proven), defined as a loss of a whole X chromosome in some cells (mosaic 46XX/45X), and gender of rearing is female; OR</w:t>
      </w:r>
    </w:p>
    <w:p w14:paraId="34F7D1E1" w14:textId="77777777" w:rsidR="00331DDE" w:rsidRPr="00331DDE" w:rsidRDefault="00331DDE" w:rsidP="00331DDE">
      <w:pPr>
        <w:numPr>
          <w:ilvl w:val="0"/>
          <w:numId w:val="59"/>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have diagnostic results consistent with Turner syndrome (the condition must be genetically proven), defined as genetic loss or rearrangement of an X chromosome (such as isochromosome X, ring-chromosome, or partial deletion of an X chromosome), and gender of rearing is female,</w:t>
      </w:r>
    </w:p>
    <w:p w14:paraId="223B7E34"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5F656615" w14:textId="77777777" w:rsidR="00331DDE" w:rsidRPr="00331DDE" w:rsidRDefault="00331DDE" w:rsidP="00331DDE">
      <w:pPr>
        <w:numPr>
          <w:ilvl w:val="0"/>
          <w:numId w:val="60"/>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not have diabetes mellitus,</w:t>
      </w:r>
    </w:p>
    <w:p w14:paraId="500A219F"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2FB8C37A" w14:textId="77777777" w:rsidR="00331DDE" w:rsidRPr="00331DDE" w:rsidRDefault="00331DDE" w:rsidP="00331DDE">
      <w:pPr>
        <w:numPr>
          <w:ilvl w:val="0"/>
          <w:numId w:val="61"/>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not have a condition with a known risk of malignancy including chromosomal abnormalities such as Down and Bloom syndromes,</w:t>
      </w:r>
    </w:p>
    <w:p w14:paraId="5E2FFCAE"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71FD857C" w14:textId="77777777" w:rsidR="00331DDE" w:rsidRPr="00331DDE" w:rsidRDefault="00331DDE" w:rsidP="00331DDE">
      <w:pPr>
        <w:numPr>
          <w:ilvl w:val="0"/>
          <w:numId w:val="62"/>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not have an active tumour or evidence of tumour growth or activity,</w:t>
      </w:r>
    </w:p>
    <w:p w14:paraId="25F6E3EE"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0B92DAEF" w14:textId="77777777" w:rsidR="00331DDE" w:rsidRPr="00331DDE" w:rsidRDefault="00331DDE" w:rsidP="00331DDE">
      <w:pPr>
        <w:numPr>
          <w:ilvl w:val="0"/>
          <w:numId w:val="63"/>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not have previously received treatment under the PBS S100 Growth Hormone Program,</w:t>
      </w:r>
    </w:p>
    <w:p w14:paraId="1BE5C284"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58640490" w14:textId="77777777" w:rsidR="00331DDE" w:rsidRPr="00331DDE" w:rsidRDefault="00331DDE" w:rsidP="00331DDE">
      <w:pPr>
        <w:numPr>
          <w:ilvl w:val="0"/>
          <w:numId w:val="64"/>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not have a bone age of 2.5 years or less,</w:t>
      </w:r>
    </w:p>
    <w:p w14:paraId="100FF483"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4F240428" w14:textId="77777777" w:rsidR="00331DDE" w:rsidRPr="00331DDE" w:rsidRDefault="00331DDE" w:rsidP="00331DDE">
      <w:pPr>
        <w:numPr>
          <w:ilvl w:val="0"/>
          <w:numId w:val="65"/>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not have a height greater than or equal to 155.0cm,</w:t>
      </w:r>
    </w:p>
    <w:p w14:paraId="33C03FB5"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7158E009" w14:textId="77777777" w:rsidR="00331DDE" w:rsidRPr="00331DDE" w:rsidRDefault="00331DDE" w:rsidP="00331DDE">
      <w:pPr>
        <w:numPr>
          <w:ilvl w:val="0"/>
          <w:numId w:val="66"/>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not have a bone age of 13.5 years or greater.</w:t>
      </w:r>
    </w:p>
    <w:p w14:paraId="7997BEF0"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The maximum duration of the initial treatment phase is 32 weeks. Prescribers must determine an appropriate weekly dose in accordance with the dosing arrangements detailed in the </w:t>
      </w:r>
      <w:r w:rsidRPr="00331DDE">
        <w:rPr>
          <w:rFonts w:eastAsia="Times New Roman" w:cstheme="minorHAnsi"/>
          <w:b/>
          <w:bCs/>
          <w:color w:val="222222"/>
          <w:sz w:val="22"/>
          <w:szCs w:val="22"/>
          <w:bdr w:val="none" w:sz="0" w:space="0" w:color="auto" w:frame="1"/>
        </w:rPr>
        <w:t>National Health (Growth Hormone Program) Special Arrangement 2015</w:t>
      </w:r>
      <w:r w:rsidRPr="00331DDE">
        <w:rPr>
          <w:rFonts w:eastAsia="Times New Roman" w:cstheme="minorHAnsi"/>
          <w:color w:val="222222"/>
          <w:sz w:val="22"/>
          <w:szCs w:val="22"/>
        </w:rPr>
        <w:t> and request the appropriate number of vials/cartridges required to provide sufficient drug for 16 weeks' worth of treatment (with up to 1 repeat allowed).</w:t>
      </w:r>
    </w:p>
    <w:p w14:paraId="4D84FF30"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The authority application must be in writing and must include:</w:t>
      </w:r>
    </w:p>
    <w:p w14:paraId="023EB3FA"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1. A completed authority prescription form; AND</w:t>
      </w:r>
    </w:p>
    <w:p w14:paraId="3A8B21A3"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2. A completed Growth Hormone Authority Application Supporting Information Form for initial treatment; AND</w:t>
      </w:r>
    </w:p>
    <w:p w14:paraId="06963D51"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3. (a) A minimum of 12 months of recent growth data (height and weight) at intervals no greater than six months. The most recent data must not be older than three months; OR</w:t>
      </w:r>
    </w:p>
    <w:p w14:paraId="4CBB0166"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(b) A minimum of 6 months of recent growth data (height and weight) for older children (females chronological age 10 and over or bone age 8 and over). The most recent data must not be older than three months; AND</w:t>
      </w:r>
    </w:p>
    <w:p w14:paraId="3D319001"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lastRenderedPageBreak/>
        <w:t>4. A bone age result performed within the last 12 months; AND</w:t>
      </w:r>
    </w:p>
    <w:p w14:paraId="316E4A0F"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5. Confirmation that the patient has diagnostic results consistent with Turner syndrome; AND</w:t>
      </w:r>
    </w:p>
    <w:p w14:paraId="6F1BF72A"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6. The proprietary name (brand), form and strength of somatropin requested, and the number of vials/cartridges required to provide sufficient drug for 16 weeks' worth of treatment (with up to 1 repeat allowed).</w:t>
      </w:r>
    </w:p>
    <w:p w14:paraId="1EE5FEAC"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Prescribers must keep a copy of any clinical records relating to the prescription, including such records required to demonstrate that the prescription was written in compliance with any relevant circumstances and/or purposes. These records must be kept for 2 years after the date the prescription to which the records relate is written.</w:t>
      </w:r>
    </w:p>
    <w:p w14:paraId="25C4813A" w14:textId="77777777" w:rsidR="00331DDE" w:rsidRPr="00202826" w:rsidRDefault="00331DDE">
      <w:pPr>
        <w:rPr>
          <w:rFonts w:eastAsia="Times New Roman" w:cstheme="minorHAnsi"/>
          <w:color w:val="FF0000"/>
          <w:sz w:val="22"/>
          <w:szCs w:val="22"/>
        </w:rPr>
      </w:pPr>
      <w:r w:rsidRPr="00202826">
        <w:rPr>
          <w:rFonts w:eastAsia="Times New Roman" w:cstheme="minorHAnsi"/>
          <w:color w:val="FF0000"/>
          <w:sz w:val="22"/>
          <w:szCs w:val="22"/>
        </w:rPr>
        <w:br w:type="page"/>
      </w:r>
    </w:p>
    <w:p w14:paraId="3EA698C4" w14:textId="7D9705C0" w:rsidR="00331DDE" w:rsidRPr="00331DDE" w:rsidRDefault="00331DDE" w:rsidP="00331DDE">
      <w:pPr>
        <w:pStyle w:val="Heading1"/>
        <w:rPr>
          <w:rFonts w:asciiTheme="minorHAnsi" w:hAnsiTheme="minorHAnsi" w:cstheme="minorHAnsi"/>
        </w:rPr>
      </w:pPr>
      <w:bookmarkStart w:id="7" w:name="_Toc13510366"/>
      <w:r w:rsidRPr="00331DDE">
        <w:rPr>
          <w:rFonts w:asciiTheme="minorHAnsi" w:hAnsiTheme="minorHAnsi" w:cstheme="minorHAnsi"/>
        </w:rPr>
        <w:lastRenderedPageBreak/>
        <w:t>Short stature due to short stature homeobox (SHOX) gene disorders</w:t>
      </w:r>
      <w:bookmarkEnd w:id="7"/>
    </w:p>
    <w:p w14:paraId="183F60DC"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Treatment Phase: Initial treatment</w:t>
      </w:r>
    </w:p>
    <w:p w14:paraId="37337497" w14:textId="77777777" w:rsidR="00331DDE" w:rsidRPr="00202826" w:rsidRDefault="00331DDE" w:rsidP="00331DDE">
      <w:pPr>
        <w:rPr>
          <w:rFonts w:eastAsia="Times New Roman" w:cstheme="minorHAnsi"/>
          <w:b/>
          <w:bCs/>
          <w:color w:val="222222"/>
          <w:sz w:val="22"/>
          <w:szCs w:val="22"/>
          <w:bdr w:val="none" w:sz="0" w:space="0" w:color="auto" w:frame="1"/>
        </w:rPr>
      </w:pPr>
    </w:p>
    <w:p w14:paraId="5273A09A" w14:textId="11244338"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Clinical criteria:</w:t>
      </w:r>
    </w:p>
    <w:p w14:paraId="38E51521" w14:textId="77777777" w:rsidR="00331DDE" w:rsidRPr="00331DDE" w:rsidRDefault="00331DDE" w:rsidP="00331DDE">
      <w:pPr>
        <w:numPr>
          <w:ilvl w:val="0"/>
          <w:numId w:val="67"/>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have diagnostic results consistent with a SHOX mutation/deletion, defined as a karyotype confirming the presence of a SHOX mutation/deletion without the presence of mixed gonadal dysgenesis; OR</w:t>
      </w:r>
    </w:p>
    <w:p w14:paraId="47685D04" w14:textId="77777777" w:rsidR="00331DDE" w:rsidRPr="00331DDE" w:rsidRDefault="00331DDE" w:rsidP="00331DDE">
      <w:pPr>
        <w:numPr>
          <w:ilvl w:val="0"/>
          <w:numId w:val="67"/>
        </w:numPr>
        <w:ind w:left="0" w:firstLine="0"/>
        <w:rPr>
          <w:rFonts w:eastAsia="Times New Roman" w:cstheme="minorHAnsi"/>
          <w:color w:val="222222"/>
          <w:sz w:val="22"/>
          <w:szCs w:val="22"/>
        </w:rPr>
      </w:pPr>
      <w:r w:rsidRPr="00331DDE">
        <w:rPr>
          <w:rFonts w:eastAsia="Times New Roman" w:cstheme="minorHAnsi"/>
          <w:color w:val="222222"/>
          <w:sz w:val="22"/>
          <w:szCs w:val="22"/>
        </w:rPr>
        <w:t xml:space="preserve">Patient must have diagnostic results consistent with a SHOX mutation/deletion, defined as mixed gonadal dysgenesis (45X mosaic karyotype with the presence of any Y chromosome material and/or SRY gene positive by FISH study) and have an appropriate plan of management in place for the patient's increased risk of </w:t>
      </w:r>
      <w:proofErr w:type="spellStart"/>
      <w:r w:rsidRPr="00331DDE">
        <w:rPr>
          <w:rFonts w:eastAsia="Times New Roman" w:cstheme="minorHAnsi"/>
          <w:color w:val="222222"/>
          <w:sz w:val="22"/>
          <w:szCs w:val="22"/>
        </w:rPr>
        <w:t>gonadoblastoma</w:t>
      </w:r>
      <w:proofErr w:type="spellEnd"/>
      <w:r w:rsidRPr="00331DDE">
        <w:rPr>
          <w:rFonts w:eastAsia="Times New Roman" w:cstheme="minorHAnsi"/>
          <w:color w:val="222222"/>
          <w:sz w:val="22"/>
          <w:szCs w:val="22"/>
        </w:rPr>
        <w:t>,</w:t>
      </w:r>
    </w:p>
    <w:p w14:paraId="09C54DFB"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714D3C65" w14:textId="77777777" w:rsidR="00331DDE" w:rsidRPr="00331DDE" w:rsidRDefault="00331DDE" w:rsidP="00331DDE">
      <w:pPr>
        <w:numPr>
          <w:ilvl w:val="0"/>
          <w:numId w:val="68"/>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have a current height at or below the 1</w:t>
      </w:r>
      <w:r w:rsidRPr="00331DDE">
        <w:rPr>
          <w:rFonts w:eastAsia="Times New Roman" w:cstheme="minorHAnsi"/>
          <w:color w:val="222222"/>
          <w:sz w:val="22"/>
          <w:szCs w:val="22"/>
          <w:bdr w:val="none" w:sz="0" w:space="0" w:color="auto" w:frame="1"/>
          <w:vertAlign w:val="superscript"/>
        </w:rPr>
        <w:t>st</w:t>
      </w:r>
      <w:r w:rsidRPr="00331DDE">
        <w:rPr>
          <w:rFonts w:eastAsia="Times New Roman" w:cstheme="minorHAnsi"/>
          <w:color w:val="222222"/>
          <w:sz w:val="22"/>
          <w:szCs w:val="22"/>
        </w:rPr>
        <w:t> percentile for age and sex,</w:t>
      </w:r>
    </w:p>
    <w:p w14:paraId="3B12E0F5"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5E4CF0FE" w14:textId="77777777" w:rsidR="00331DDE" w:rsidRPr="00331DDE" w:rsidRDefault="00331DDE" w:rsidP="00331DDE">
      <w:pPr>
        <w:numPr>
          <w:ilvl w:val="0"/>
          <w:numId w:val="69"/>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have a growth velocity below the 25</w:t>
      </w:r>
      <w:r w:rsidRPr="00331DDE">
        <w:rPr>
          <w:rFonts w:eastAsia="Times New Roman" w:cstheme="minorHAnsi"/>
          <w:color w:val="222222"/>
          <w:sz w:val="22"/>
          <w:szCs w:val="22"/>
          <w:bdr w:val="none" w:sz="0" w:space="0" w:color="auto" w:frame="1"/>
          <w:vertAlign w:val="superscript"/>
        </w:rPr>
        <w:t>th</w:t>
      </w:r>
      <w:r w:rsidRPr="00331DDE">
        <w:rPr>
          <w:rFonts w:eastAsia="Times New Roman" w:cstheme="minorHAnsi"/>
          <w:color w:val="222222"/>
          <w:sz w:val="22"/>
          <w:szCs w:val="22"/>
        </w:rPr>
        <w:t> percentile for bone age and sex measured over a 12 month interval (or a 6 month interval for an older child); OR</w:t>
      </w:r>
    </w:p>
    <w:p w14:paraId="48C61FE2" w14:textId="77777777" w:rsidR="00331DDE" w:rsidRPr="00331DDE" w:rsidRDefault="00331DDE" w:rsidP="00331DDE">
      <w:pPr>
        <w:numPr>
          <w:ilvl w:val="0"/>
          <w:numId w:val="69"/>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have an annual growth velocity of 14 cm per year or less if the patient has a chronological age of 2 years or less; OR</w:t>
      </w:r>
    </w:p>
    <w:p w14:paraId="73C1F23F" w14:textId="77777777" w:rsidR="00331DDE" w:rsidRPr="00331DDE" w:rsidRDefault="00331DDE" w:rsidP="00331DDE">
      <w:pPr>
        <w:numPr>
          <w:ilvl w:val="0"/>
          <w:numId w:val="69"/>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have an annual growth velocity of 8 cm per year or less if the patient has a bone or chronological age of 2.5 years or less,</w:t>
      </w:r>
    </w:p>
    <w:p w14:paraId="72775039"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664D85ED" w14:textId="77777777" w:rsidR="00331DDE" w:rsidRPr="00331DDE" w:rsidRDefault="00331DDE" w:rsidP="00331DDE">
      <w:pPr>
        <w:numPr>
          <w:ilvl w:val="0"/>
          <w:numId w:val="70"/>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not have diabetes mellitus,</w:t>
      </w:r>
    </w:p>
    <w:p w14:paraId="4717D29A"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77F7414C" w14:textId="77777777" w:rsidR="00331DDE" w:rsidRPr="00331DDE" w:rsidRDefault="00331DDE" w:rsidP="00331DDE">
      <w:pPr>
        <w:numPr>
          <w:ilvl w:val="0"/>
          <w:numId w:val="71"/>
        </w:numPr>
        <w:ind w:left="0" w:firstLine="0"/>
        <w:rPr>
          <w:rFonts w:eastAsia="Times New Roman" w:cstheme="minorHAnsi"/>
          <w:color w:val="222222"/>
          <w:sz w:val="22"/>
          <w:szCs w:val="22"/>
        </w:rPr>
      </w:pPr>
      <w:r w:rsidRPr="00331DDE">
        <w:rPr>
          <w:rFonts w:eastAsia="Times New Roman" w:cstheme="minorHAnsi"/>
          <w:color w:val="222222"/>
          <w:sz w:val="22"/>
          <w:szCs w:val="22"/>
        </w:rPr>
        <w:t xml:space="preserve">Patient must not have a condition with a known risk of malignancy including chromosomal abnormalities such as Down and Bloom syndromes (excluding </w:t>
      </w:r>
      <w:proofErr w:type="spellStart"/>
      <w:r w:rsidRPr="00331DDE">
        <w:rPr>
          <w:rFonts w:eastAsia="Times New Roman" w:cstheme="minorHAnsi"/>
          <w:color w:val="222222"/>
          <w:sz w:val="22"/>
          <w:szCs w:val="22"/>
        </w:rPr>
        <w:t>gonadoblastoma</w:t>
      </w:r>
      <w:proofErr w:type="spellEnd"/>
      <w:r w:rsidRPr="00331DDE">
        <w:rPr>
          <w:rFonts w:eastAsia="Times New Roman" w:cstheme="minorHAnsi"/>
          <w:color w:val="222222"/>
          <w:sz w:val="22"/>
          <w:szCs w:val="22"/>
        </w:rPr>
        <w:t xml:space="preserve"> secondary to mixed gonadal dysgenesis),</w:t>
      </w:r>
    </w:p>
    <w:p w14:paraId="6390FB44"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4C0446E1" w14:textId="77777777" w:rsidR="00331DDE" w:rsidRPr="00331DDE" w:rsidRDefault="00331DDE" w:rsidP="00331DDE">
      <w:pPr>
        <w:numPr>
          <w:ilvl w:val="0"/>
          <w:numId w:val="72"/>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not have an active tumour or evidence of tumour growth or activity,</w:t>
      </w:r>
    </w:p>
    <w:p w14:paraId="5B200426"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764BFA8C" w14:textId="77777777" w:rsidR="00331DDE" w:rsidRPr="00331DDE" w:rsidRDefault="00331DDE" w:rsidP="00331DDE">
      <w:pPr>
        <w:numPr>
          <w:ilvl w:val="0"/>
          <w:numId w:val="73"/>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not have previously received treatment under the PBS S100 Growth Hormone Program,</w:t>
      </w:r>
    </w:p>
    <w:p w14:paraId="5BD7B768"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7DA3F602" w14:textId="77777777" w:rsidR="00331DDE" w:rsidRPr="00331DDE" w:rsidRDefault="00331DDE" w:rsidP="00331DDE">
      <w:pPr>
        <w:numPr>
          <w:ilvl w:val="0"/>
          <w:numId w:val="74"/>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be male and must not have a height greater than or equal to 167.7cm; OR</w:t>
      </w:r>
    </w:p>
    <w:p w14:paraId="162193C7" w14:textId="77777777" w:rsidR="00331DDE" w:rsidRPr="00331DDE" w:rsidRDefault="00331DDE" w:rsidP="00331DDE">
      <w:pPr>
        <w:numPr>
          <w:ilvl w:val="0"/>
          <w:numId w:val="74"/>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be female and must not have a height greater than or equal to 155.0cm,</w:t>
      </w:r>
    </w:p>
    <w:p w14:paraId="212F063F"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240F6745" w14:textId="77777777" w:rsidR="00331DDE" w:rsidRPr="00331DDE" w:rsidRDefault="00331DDE" w:rsidP="00331DDE">
      <w:pPr>
        <w:numPr>
          <w:ilvl w:val="0"/>
          <w:numId w:val="75"/>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be male and must not have a bone age of 15.5 years or more; OR</w:t>
      </w:r>
    </w:p>
    <w:p w14:paraId="7DF9875F" w14:textId="77777777" w:rsidR="00331DDE" w:rsidRPr="00331DDE" w:rsidRDefault="00331DDE" w:rsidP="00331DDE">
      <w:pPr>
        <w:numPr>
          <w:ilvl w:val="0"/>
          <w:numId w:val="75"/>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be female and must not have a bone age of 13.5 years or more.</w:t>
      </w:r>
    </w:p>
    <w:p w14:paraId="19E37357" w14:textId="77777777" w:rsidR="00331DDE" w:rsidRPr="00202826" w:rsidRDefault="00331DDE" w:rsidP="00331DDE">
      <w:pPr>
        <w:rPr>
          <w:rFonts w:eastAsia="Times New Roman" w:cstheme="minorHAnsi"/>
          <w:b/>
          <w:bCs/>
          <w:color w:val="222222"/>
          <w:sz w:val="22"/>
          <w:szCs w:val="22"/>
          <w:bdr w:val="none" w:sz="0" w:space="0" w:color="auto" w:frame="1"/>
        </w:rPr>
      </w:pPr>
    </w:p>
    <w:p w14:paraId="68CB4863" w14:textId="4C0C9601"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Treatment criteria:</w:t>
      </w:r>
    </w:p>
    <w:p w14:paraId="59A4E7FD" w14:textId="77777777" w:rsidR="00331DDE" w:rsidRPr="00331DDE" w:rsidRDefault="00331DDE" w:rsidP="00331DDE">
      <w:pPr>
        <w:numPr>
          <w:ilvl w:val="0"/>
          <w:numId w:val="76"/>
        </w:numPr>
        <w:ind w:left="0" w:firstLine="0"/>
        <w:rPr>
          <w:rFonts w:eastAsia="Times New Roman" w:cstheme="minorHAnsi"/>
          <w:color w:val="222222"/>
          <w:sz w:val="22"/>
          <w:szCs w:val="22"/>
        </w:rPr>
      </w:pPr>
      <w:r w:rsidRPr="00331DDE">
        <w:rPr>
          <w:rFonts w:eastAsia="Times New Roman" w:cstheme="minorHAnsi"/>
          <w:color w:val="222222"/>
          <w:sz w:val="22"/>
          <w:szCs w:val="22"/>
        </w:rPr>
        <w:t>Must be treated by a specialist or consultant physician in paediatric endocrinology; OR</w:t>
      </w:r>
    </w:p>
    <w:p w14:paraId="2664AF93" w14:textId="77777777" w:rsidR="00331DDE" w:rsidRPr="00331DDE" w:rsidRDefault="00331DDE" w:rsidP="00331DDE">
      <w:pPr>
        <w:numPr>
          <w:ilvl w:val="0"/>
          <w:numId w:val="76"/>
        </w:numPr>
        <w:ind w:left="0" w:firstLine="0"/>
        <w:rPr>
          <w:rFonts w:eastAsia="Times New Roman" w:cstheme="minorHAnsi"/>
          <w:color w:val="222222"/>
          <w:sz w:val="22"/>
          <w:szCs w:val="22"/>
        </w:rPr>
      </w:pPr>
      <w:r w:rsidRPr="00331DDE">
        <w:rPr>
          <w:rFonts w:eastAsia="Times New Roman" w:cstheme="minorHAnsi"/>
          <w:color w:val="222222"/>
          <w:sz w:val="22"/>
          <w:szCs w:val="22"/>
        </w:rPr>
        <w:t>Must be treated by a specialist or consultant physician in general paediatrics in consultation with a nominated specialist or consultant physician in paediatric endocrinology.</w:t>
      </w:r>
    </w:p>
    <w:p w14:paraId="7FB06BFF"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An older child is defined as a male with a chronological age of at least 12 years or a bone age of at least 10 years, or a female with a chronological age of at least 10 years or a bone age of at least 8 years.</w:t>
      </w:r>
    </w:p>
    <w:p w14:paraId="2E2C0E6C"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The maximum duration of the initial treatment phase is 32 weeks. Prescribers must determine an appropriate weekly dose in accordance with the dosing arrangements detailed in the </w:t>
      </w:r>
      <w:r w:rsidRPr="00331DDE">
        <w:rPr>
          <w:rFonts w:eastAsia="Times New Roman" w:cstheme="minorHAnsi"/>
          <w:b/>
          <w:bCs/>
          <w:color w:val="222222"/>
          <w:sz w:val="22"/>
          <w:szCs w:val="22"/>
          <w:bdr w:val="none" w:sz="0" w:space="0" w:color="auto" w:frame="1"/>
        </w:rPr>
        <w:t>National Health (Growth Hormone Program) Special Arrangement 2015</w:t>
      </w:r>
      <w:r w:rsidRPr="00331DDE">
        <w:rPr>
          <w:rFonts w:eastAsia="Times New Roman" w:cstheme="minorHAnsi"/>
          <w:color w:val="222222"/>
          <w:sz w:val="22"/>
          <w:szCs w:val="22"/>
        </w:rPr>
        <w:t> and request the appropriate number of vials/cartridges required to provide sufficient drug for 16 weeks' worth of treatment (with up to 1 repeat allowed).</w:t>
      </w:r>
    </w:p>
    <w:p w14:paraId="6B321794"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The authority application must be in writing and must include:</w:t>
      </w:r>
    </w:p>
    <w:p w14:paraId="7BBF7A81"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lastRenderedPageBreak/>
        <w:t>1. A completed authority prescription form; AND</w:t>
      </w:r>
    </w:p>
    <w:p w14:paraId="7BCB9CDF"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2. A completed Growth Hormone Authority Application Supporting Information Form for initial treatment; AND</w:t>
      </w:r>
    </w:p>
    <w:p w14:paraId="4D4E1A83"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3. A minimum of 12 months of recent growth data (height and weight measurements) or a minimum of 6 months of recent growth data for an older child. The most recent data must not be more than three months old at the time of application; AND</w:t>
      </w:r>
    </w:p>
    <w:p w14:paraId="485BE509"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4. A bone age result performed within the last 12 months (except for a patient whose chronological age is 2.5 years or less); AND</w:t>
      </w:r>
    </w:p>
    <w:p w14:paraId="086E751F"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5. Confirmation that the patient has diagnostic results consistent with a short stature homeobox (SHOX) gene disorder; AND</w:t>
      </w:r>
    </w:p>
    <w:p w14:paraId="108FDA7D"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 xml:space="preserve">6. If the patient's condition is secondary to mixed gonadal dysgenesis, confirmation that an appropriate plan of management for the patient's increased risk of </w:t>
      </w:r>
      <w:proofErr w:type="spellStart"/>
      <w:r w:rsidRPr="00331DDE">
        <w:rPr>
          <w:rFonts w:eastAsia="Times New Roman" w:cstheme="minorHAnsi"/>
          <w:color w:val="222222"/>
          <w:sz w:val="22"/>
          <w:szCs w:val="22"/>
        </w:rPr>
        <w:t>gonadoblastoma</w:t>
      </w:r>
      <w:proofErr w:type="spellEnd"/>
      <w:r w:rsidRPr="00331DDE">
        <w:rPr>
          <w:rFonts w:eastAsia="Times New Roman" w:cstheme="minorHAnsi"/>
          <w:color w:val="222222"/>
          <w:sz w:val="22"/>
          <w:szCs w:val="22"/>
        </w:rPr>
        <w:t xml:space="preserve"> is in place; AND</w:t>
      </w:r>
    </w:p>
    <w:p w14:paraId="79BDB809"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7. The proprietary name (brand), form and strength of somatropin requested, and the number of vials/cartridges required to provide sufficient drug for 16 weeks' worth of treatment (with up to 1 repeat allowed).</w:t>
      </w:r>
    </w:p>
    <w:p w14:paraId="7E4A2E2C"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Prescribers must keep a copy of any clinical records relating to the prescription, including such records required to demonstrate that the prescription was written in compliance with any relevant circumstances and/or purposes. These records must be kept for 2 years after the date the prescription to which the records relate is written.</w:t>
      </w:r>
    </w:p>
    <w:p w14:paraId="18EC2208" w14:textId="77777777" w:rsidR="00331DDE" w:rsidRPr="00202826" w:rsidRDefault="00331DDE" w:rsidP="00331DDE">
      <w:pPr>
        <w:rPr>
          <w:rFonts w:eastAsia="Times New Roman" w:cstheme="minorHAnsi"/>
          <w:color w:val="FF0000"/>
          <w:sz w:val="22"/>
          <w:szCs w:val="22"/>
        </w:rPr>
      </w:pPr>
    </w:p>
    <w:p w14:paraId="48280F18" w14:textId="77777777" w:rsidR="00331DDE" w:rsidRPr="00331DDE" w:rsidRDefault="00331DDE">
      <w:pPr>
        <w:rPr>
          <w:rFonts w:eastAsia="Times New Roman" w:cstheme="minorHAnsi"/>
          <w:color w:val="FF0000"/>
          <w:sz w:val="20"/>
          <w:szCs w:val="20"/>
        </w:rPr>
      </w:pPr>
      <w:r w:rsidRPr="00202826">
        <w:rPr>
          <w:rFonts w:eastAsia="Times New Roman" w:cstheme="minorHAnsi"/>
          <w:color w:val="FF0000"/>
          <w:sz w:val="22"/>
          <w:szCs w:val="22"/>
        </w:rPr>
        <w:br w:type="page"/>
      </w:r>
    </w:p>
    <w:p w14:paraId="16CB66A3" w14:textId="35E25D75" w:rsidR="00331DDE" w:rsidRPr="00331DDE" w:rsidRDefault="00331DDE" w:rsidP="00331DDE">
      <w:pPr>
        <w:pStyle w:val="Heading1"/>
        <w:rPr>
          <w:rFonts w:asciiTheme="minorHAnsi" w:hAnsiTheme="minorHAnsi" w:cstheme="minorHAnsi"/>
        </w:rPr>
      </w:pPr>
      <w:bookmarkStart w:id="8" w:name="_Toc13510367"/>
      <w:r w:rsidRPr="00331DDE">
        <w:rPr>
          <w:rFonts w:asciiTheme="minorHAnsi" w:hAnsiTheme="minorHAnsi" w:cstheme="minorHAnsi"/>
        </w:rPr>
        <w:lastRenderedPageBreak/>
        <w:t>Short stature associated with chronic renal insufficiency</w:t>
      </w:r>
      <w:bookmarkEnd w:id="8"/>
    </w:p>
    <w:p w14:paraId="142D3BE2"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Treatment Phase: Initial treatment</w:t>
      </w:r>
    </w:p>
    <w:p w14:paraId="54890D8E" w14:textId="77777777" w:rsidR="00331DDE" w:rsidRPr="00202826" w:rsidRDefault="00331DDE" w:rsidP="00331DDE">
      <w:pPr>
        <w:rPr>
          <w:rFonts w:eastAsia="Times New Roman" w:cstheme="minorHAnsi"/>
          <w:b/>
          <w:bCs/>
          <w:color w:val="222222"/>
          <w:sz w:val="22"/>
          <w:szCs w:val="22"/>
          <w:bdr w:val="none" w:sz="0" w:space="0" w:color="auto" w:frame="1"/>
        </w:rPr>
      </w:pPr>
    </w:p>
    <w:p w14:paraId="265EF737" w14:textId="45CC9551"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Clinical criteria:</w:t>
      </w:r>
    </w:p>
    <w:p w14:paraId="243EAF9B" w14:textId="77777777" w:rsidR="00331DDE" w:rsidRPr="00331DDE" w:rsidRDefault="00331DDE" w:rsidP="00331DDE">
      <w:pPr>
        <w:numPr>
          <w:ilvl w:val="0"/>
          <w:numId w:val="77"/>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have an estimated glomerular filtration rate less than 30mL/minute/1.73m</w:t>
      </w:r>
      <w:r w:rsidRPr="00331DDE">
        <w:rPr>
          <w:rFonts w:eastAsia="Times New Roman" w:cstheme="minorHAnsi"/>
          <w:color w:val="222222"/>
          <w:sz w:val="22"/>
          <w:szCs w:val="22"/>
          <w:bdr w:val="none" w:sz="0" w:space="0" w:color="auto" w:frame="1"/>
          <w:vertAlign w:val="superscript"/>
        </w:rPr>
        <w:t>2</w:t>
      </w:r>
      <w:r w:rsidRPr="00331DDE">
        <w:rPr>
          <w:rFonts w:eastAsia="Times New Roman" w:cstheme="minorHAnsi"/>
          <w:color w:val="222222"/>
          <w:sz w:val="22"/>
          <w:szCs w:val="22"/>
        </w:rPr>
        <w:t> measured by creatinine clearance, excretion of radionuclides such as DTPA, or by the height/creatinine formula, and not have undergone a renal transplant; OR</w:t>
      </w:r>
    </w:p>
    <w:p w14:paraId="13E390BF" w14:textId="77777777" w:rsidR="00331DDE" w:rsidRPr="00331DDE" w:rsidRDefault="00331DDE" w:rsidP="00331DDE">
      <w:pPr>
        <w:numPr>
          <w:ilvl w:val="0"/>
          <w:numId w:val="77"/>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have an estimated glomerular filtration rate less than 30mL/minute/1.73m</w:t>
      </w:r>
      <w:r w:rsidRPr="00331DDE">
        <w:rPr>
          <w:rFonts w:eastAsia="Times New Roman" w:cstheme="minorHAnsi"/>
          <w:color w:val="222222"/>
          <w:sz w:val="22"/>
          <w:szCs w:val="22"/>
          <w:bdr w:val="none" w:sz="0" w:space="0" w:color="auto" w:frame="1"/>
          <w:vertAlign w:val="superscript"/>
        </w:rPr>
        <w:t>2</w:t>
      </w:r>
      <w:r w:rsidRPr="00331DDE">
        <w:rPr>
          <w:rFonts w:eastAsia="Times New Roman" w:cstheme="minorHAnsi"/>
          <w:color w:val="222222"/>
          <w:sz w:val="22"/>
          <w:szCs w:val="22"/>
        </w:rPr>
        <w:t> measured by creatinine clearance, excretion of radionuclides such as DTPA, or by the height/creatinine formula, have undergone a renal transplant, and have undergone a 12 month period of observation following the transplant,</w:t>
      </w:r>
    </w:p>
    <w:p w14:paraId="1C34B526"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2D162A67" w14:textId="77777777" w:rsidR="00331DDE" w:rsidRPr="00331DDE" w:rsidRDefault="00331DDE" w:rsidP="00331DDE">
      <w:pPr>
        <w:numPr>
          <w:ilvl w:val="0"/>
          <w:numId w:val="78"/>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have a current height at or below the 1</w:t>
      </w:r>
      <w:r w:rsidRPr="00331DDE">
        <w:rPr>
          <w:rFonts w:eastAsia="Times New Roman" w:cstheme="minorHAnsi"/>
          <w:color w:val="222222"/>
          <w:sz w:val="22"/>
          <w:szCs w:val="22"/>
          <w:bdr w:val="none" w:sz="0" w:space="0" w:color="auto" w:frame="1"/>
          <w:vertAlign w:val="superscript"/>
        </w:rPr>
        <w:t>st</w:t>
      </w:r>
      <w:r w:rsidRPr="00331DDE">
        <w:rPr>
          <w:rFonts w:eastAsia="Times New Roman" w:cstheme="minorHAnsi"/>
          <w:color w:val="222222"/>
          <w:sz w:val="22"/>
          <w:szCs w:val="22"/>
        </w:rPr>
        <w:t> percentile for age and sex; OR</w:t>
      </w:r>
    </w:p>
    <w:p w14:paraId="466582B7" w14:textId="77777777" w:rsidR="00331DDE" w:rsidRPr="00331DDE" w:rsidRDefault="00331DDE" w:rsidP="00331DDE">
      <w:pPr>
        <w:numPr>
          <w:ilvl w:val="0"/>
          <w:numId w:val="78"/>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have a current height above the 1</w:t>
      </w:r>
      <w:r w:rsidRPr="00331DDE">
        <w:rPr>
          <w:rFonts w:eastAsia="Times New Roman" w:cstheme="minorHAnsi"/>
          <w:color w:val="222222"/>
          <w:sz w:val="22"/>
          <w:szCs w:val="22"/>
          <w:bdr w:val="none" w:sz="0" w:space="0" w:color="auto" w:frame="1"/>
          <w:vertAlign w:val="superscript"/>
        </w:rPr>
        <w:t>st</w:t>
      </w:r>
      <w:r w:rsidRPr="00331DDE">
        <w:rPr>
          <w:rFonts w:eastAsia="Times New Roman" w:cstheme="minorHAnsi"/>
          <w:color w:val="222222"/>
          <w:sz w:val="22"/>
          <w:szCs w:val="22"/>
        </w:rPr>
        <w:t> and at or below the 25</w:t>
      </w:r>
      <w:r w:rsidRPr="00331DDE">
        <w:rPr>
          <w:rFonts w:eastAsia="Times New Roman" w:cstheme="minorHAnsi"/>
          <w:color w:val="222222"/>
          <w:sz w:val="22"/>
          <w:szCs w:val="22"/>
          <w:bdr w:val="none" w:sz="0" w:space="0" w:color="auto" w:frame="1"/>
          <w:vertAlign w:val="superscript"/>
        </w:rPr>
        <w:t>th</w:t>
      </w:r>
      <w:r w:rsidRPr="00331DDE">
        <w:rPr>
          <w:rFonts w:eastAsia="Times New Roman" w:cstheme="minorHAnsi"/>
          <w:color w:val="222222"/>
          <w:sz w:val="22"/>
          <w:szCs w:val="22"/>
        </w:rPr>
        <w:t> percentiles for age and sex and a growth velocity less than or equal to the 25</w:t>
      </w:r>
      <w:r w:rsidRPr="00331DDE">
        <w:rPr>
          <w:rFonts w:eastAsia="Times New Roman" w:cstheme="minorHAnsi"/>
          <w:color w:val="222222"/>
          <w:sz w:val="22"/>
          <w:szCs w:val="22"/>
          <w:bdr w:val="none" w:sz="0" w:space="0" w:color="auto" w:frame="1"/>
          <w:vertAlign w:val="superscript"/>
        </w:rPr>
        <w:t>th</w:t>
      </w:r>
      <w:r w:rsidRPr="00331DDE">
        <w:rPr>
          <w:rFonts w:eastAsia="Times New Roman" w:cstheme="minorHAnsi"/>
          <w:color w:val="222222"/>
          <w:sz w:val="22"/>
          <w:szCs w:val="22"/>
        </w:rPr>
        <w:t> percentile for bone age and sex measured over a 12 month interval (or a 6 month interval for an older child); OR</w:t>
      </w:r>
    </w:p>
    <w:p w14:paraId="3F548364" w14:textId="77777777" w:rsidR="00331DDE" w:rsidRPr="00331DDE" w:rsidRDefault="00331DDE" w:rsidP="00331DDE">
      <w:pPr>
        <w:numPr>
          <w:ilvl w:val="0"/>
          <w:numId w:val="78"/>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have a current height above the 1</w:t>
      </w:r>
      <w:r w:rsidRPr="00331DDE">
        <w:rPr>
          <w:rFonts w:eastAsia="Times New Roman" w:cstheme="minorHAnsi"/>
          <w:color w:val="222222"/>
          <w:sz w:val="22"/>
          <w:szCs w:val="22"/>
          <w:bdr w:val="none" w:sz="0" w:space="0" w:color="auto" w:frame="1"/>
          <w:vertAlign w:val="superscript"/>
        </w:rPr>
        <w:t>st</w:t>
      </w:r>
      <w:r w:rsidRPr="00331DDE">
        <w:rPr>
          <w:rFonts w:eastAsia="Times New Roman" w:cstheme="minorHAnsi"/>
          <w:color w:val="222222"/>
          <w:sz w:val="22"/>
          <w:szCs w:val="22"/>
        </w:rPr>
        <w:t> and at or below the 25</w:t>
      </w:r>
      <w:r w:rsidRPr="00331DDE">
        <w:rPr>
          <w:rFonts w:eastAsia="Times New Roman" w:cstheme="minorHAnsi"/>
          <w:color w:val="222222"/>
          <w:sz w:val="22"/>
          <w:szCs w:val="22"/>
          <w:bdr w:val="none" w:sz="0" w:space="0" w:color="auto" w:frame="1"/>
          <w:vertAlign w:val="superscript"/>
        </w:rPr>
        <w:t>th</w:t>
      </w:r>
      <w:r w:rsidRPr="00331DDE">
        <w:rPr>
          <w:rFonts w:eastAsia="Times New Roman" w:cstheme="minorHAnsi"/>
          <w:color w:val="222222"/>
          <w:sz w:val="22"/>
          <w:szCs w:val="22"/>
        </w:rPr>
        <w:t> percentiles for age and sex and an annual growth velocity of 14 cm per year or less if the patient has a chronological age of 2 years or less; OR</w:t>
      </w:r>
    </w:p>
    <w:p w14:paraId="28417629" w14:textId="77777777" w:rsidR="00331DDE" w:rsidRPr="00331DDE" w:rsidRDefault="00331DDE" w:rsidP="00331DDE">
      <w:pPr>
        <w:numPr>
          <w:ilvl w:val="0"/>
          <w:numId w:val="78"/>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have a current height above the 1</w:t>
      </w:r>
      <w:r w:rsidRPr="00331DDE">
        <w:rPr>
          <w:rFonts w:eastAsia="Times New Roman" w:cstheme="minorHAnsi"/>
          <w:color w:val="222222"/>
          <w:sz w:val="22"/>
          <w:szCs w:val="22"/>
          <w:bdr w:val="none" w:sz="0" w:space="0" w:color="auto" w:frame="1"/>
          <w:vertAlign w:val="superscript"/>
        </w:rPr>
        <w:t>st</w:t>
      </w:r>
      <w:r w:rsidRPr="00331DDE">
        <w:rPr>
          <w:rFonts w:eastAsia="Times New Roman" w:cstheme="minorHAnsi"/>
          <w:color w:val="222222"/>
          <w:sz w:val="22"/>
          <w:szCs w:val="22"/>
        </w:rPr>
        <w:t> and at or below the 25</w:t>
      </w:r>
      <w:r w:rsidRPr="00331DDE">
        <w:rPr>
          <w:rFonts w:eastAsia="Times New Roman" w:cstheme="minorHAnsi"/>
          <w:color w:val="222222"/>
          <w:sz w:val="22"/>
          <w:szCs w:val="22"/>
          <w:bdr w:val="none" w:sz="0" w:space="0" w:color="auto" w:frame="1"/>
          <w:vertAlign w:val="superscript"/>
        </w:rPr>
        <w:t>th</w:t>
      </w:r>
      <w:r w:rsidRPr="00331DDE">
        <w:rPr>
          <w:rFonts w:eastAsia="Times New Roman" w:cstheme="minorHAnsi"/>
          <w:color w:val="222222"/>
          <w:sz w:val="22"/>
          <w:szCs w:val="22"/>
        </w:rPr>
        <w:t> percentiles for age and sex and an annual growth velocity of 8 cm per year or less if the patient has a bone or chronological age of 2.5 years or less,</w:t>
      </w:r>
    </w:p>
    <w:p w14:paraId="725ECCC5"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39E2A584" w14:textId="77777777" w:rsidR="00331DDE" w:rsidRPr="00331DDE" w:rsidRDefault="00331DDE" w:rsidP="00331DDE">
      <w:pPr>
        <w:numPr>
          <w:ilvl w:val="0"/>
          <w:numId w:val="79"/>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not have diabetes mellitus,</w:t>
      </w:r>
    </w:p>
    <w:p w14:paraId="46F48DD9"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2EF28FF4" w14:textId="77777777" w:rsidR="00331DDE" w:rsidRPr="00331DDE" w:rsidRDefault="00331DDE" w:rsidP="00331DDE">
      <w:pPr>
        <w:numPr>
          <w:ilvl w:val="0"/>
          <w:numId w:val="80"/>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not have a condition with a known risk of malignancy including chromosomal abnormalities such as Down and Bloom syndromes,</w:t>
      </w:r>
    </w:p>
    <w:p w14:paraId="2A89607A"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7347042E" w14:textId="77777777" w:rsidR="00331DDE" w:rsidRPr="00331DDE" w:rsidRDefault="00331DDE" w:rsidP="00331DDE">
      <w:pPr>
        <w:numPr>
          <w:ilvl w:val="0"/>
          <w:numId w:val="81"/>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not have an active tumour or evidence of tumour growth or activity,</w:t>
      </w:r>
    </w:p>
    <w:p w14:paraId="06784D14"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5031AF30" w14:textId="77777777" w:rsidR="00331DDE" w:rsidRPr="00331DDE" w:rsidRDefault="00331DDE" w:rsidP="00331DDE">
      <w:pPr>
        <w:numPr>
          <w:ilvl w:val="0"/>
          <w:numId w:val="82"/>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not have previously received treatment under the PBS S100 Growth Hormone Program,</w:t>
      </w:r>
    </w:p>
    <w:p w14:paraId="1D1AA3C0"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2208B207" w14:textId="77777777" w:rsidR="00331DDE" w:rsidRPr="00331DDE" w:rsidRDefault="00331DDE" w:rsidP="00331DDE">
      <w:pPr>
        <w:numPr>
          <w:ilvl w:val="0"/>
          <w:numId w:val="83"/>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be male and must not have a height greater than or equal to 167.7cm; OR</w:t>
      </w:r>
    </w:p>
    <w:p w14:paraId="42A26FA3" w14:textId="77777777" w:rsidR="00331DDE" w:rsidRPr="00331DDE" w:rsidRDefault="00331DDE" w:rsidP="00331DDE">
      <w:pPr>
        <w:numPr>
          <w:ilvl w:val="0"/>
          <w:numId w:val="83"/>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be female and must not have a height greater than or equal to 155.0cm,</w:t>
      </w:r>
    </w:p>
    <w:p w14:paraId="6CA1A9C9"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10FB819A" w14:textId="77777777" w:rsidR="00331DDE" w:rsidRPr="00331DDE" w:rsidRDefault="00331DDE" w:rsidP="00331DDE">
      <w:pPr>
        <w:numPr>
          <w:ilvl w:val="0"/>
          <w:numId w:val="84"/>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be male and must not have a bone age of 15.5 years or more; OR</w:t>
      </w:r>
    </w:p>
    <w:p w14:paraId="1BA7B4E8" w14:textId="77777777" w:rsidR="00331DDE" w:rsidRPr="00331DDE" w:rsidRDefault="00331DDE" w:rsidP="00331DDE">
      <w:pPr>
        <w:numPr>
          <w:ilvl w:val="0"/>
          <w:numId w:val="84"/>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be female and must not have a bone age of 13.5 years or more.</w:t>
      </w:r>
    </w:p>
    <w:p w14:paraId="4A3B46A5" w14:textId="77777777" w:rsidR="00331DDE" w:rsidRPr="00202826" w:rsidRDefault="00331DDE" w:rsidP="00331DDE">
      <w:pPr>
        <w:rPr>
          <w:rFonts w:eastAsia="Times New Roman" w:cstheme="minorHAnsi"/>
          <w:b/>
          <w:bCs/>
          <w:color w:val="222222"/>
          <w:sz w:val="22"/>
          <w:szCs w:val="22"/>
          <w:bdr w:val="none" w:sz="0" w:space="0" w:color="auto" w:frame="1"/>
        </w:rPr>
      </w:pPr>
    </w:p>
    <w:p w14:paraId="0BD3F875" w14:textId="28D9E53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Treatment criteria:</w:t>
      </w:r>
    </w:p>
    <w:p w14:paraId="5DEF619D" w14:textId="77777777" w:rsidR="00331DDE" w:rsidRPr="00331DDE" w:rsidRDefault="00331DDE" w:rsidP="00331DDE">
      <w:pPr>
        <w:numPr>
          <w:ilvl w:val="0"/>
          <w:numId w:val="85"/>
        </w:numPr>
        <w:ind w:left="0" w:firstLine="0"/>
        <w:rPr>
          <w:rFonts w:eastAsia="Times New Roman" w:cstheme="minorHAnsi"/>
          <w:color w:val="222222"/>
          <w:sz w:val="22"/>
          <w:szCs w:val="22"/>
        </w:rPr>
      </w:pPr>
      <w:r w:rsidRPr="00331DDE">
        <w:rPr>
          <w:rFonts w:eastAsia="Times New Roman" w:cstheme="minorHAnsi"/>
          <w:color w:val="222222"/>
          <w:sz w:val="22"/>
          <w:szCs w:val="22"/>
        </w:rPr>
        <w:t>Must be treated by a specialist or consultant physician in paediatric endocrinology; OR</w:t>
      </w:r>
    </w:p>
    <w:p w14:paraId="4380BE51" w14:textId="77777777" w:rsidR="00331DDE" w:rsidRPr="00331DDE" w:rsidRDefault="00331DDE" w:rsidP="00331DDE">
      <w:pPr>
        <w:numPr>
          <w:ilvl w:val="0"/>
          <w:numId w:val="85"/>
        </w:numPr>
        <w:ind w:left="0" w:firstLine="0"/>
        <w:rPr>
          <w:rFonts w:eastAsia="Times New Roman" w:cstheme="minorHAnsi"/>
          <w:color w:val="222222"/>
          <w:sz w:val="22"/>
          <w:szCs w:val="22"/>
        </w:rPr>
      </w:pPr>
      <w:r w:rsidRPr="00331DDE">
        <w:rPr>
          <w:rFonts w:eastAsia="Times New Roman" w:cstheme="minorHAnsi"/>
          <w:color w:val="222222"/>
          <w:sz w:val="22"/>
          <w:szCs w:val="22"/>
        </w:rPr>
        <w:t>Must be treated by a specialist or consultant physician in general paediatrics in consultation with a nominated specialist or consultant physician in paediatric endocrinology.</w:t>
      </w:r>
    </w:p>
    <w:p w14:paraId="3D12140D"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An older child is defined as a male with a chronological age of at least 12 years or a bone age of at least 10 years, or a female with a chronological age of at least 10 years or a bone age of at least 8 years.</w:t>
      </w:r>
    </w:p>
    <w:p w14:paraId="7997FC67"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The maximum duration of the initial treatment phase is 32 weeks. Prescribers must determine an appropriate weekly dose in accordance with the dosing arrangements detailed in the </w:t>
      </w:r>
      <w:r w:rsidRPr="00331DDE">
        <w:rPr>
          <w:rFonts w:eastAsia="Times New Roman" w:cstheme="minorHAnsi"/>
          <w:b/>
          <w:bCs/>
          <w:color w:val="222222"/>
          <w:sz w:val="22"/>
          <w:szCs w:val="22"/>
          <w:bdr w:val="none" w:sz="0" w:space="0" w:color="auto" w:frame="1"/>
        </w:rPr>
        <w:t>National Health (Growth Hormone Program) Special Arrangement 2015</w:t>
      </w:r>
      <w:r w:rsidRPr="00331DDE">
        <w:rPr>
          <w:rFonts w:eastAsia="Times New Roman" w:cstheme="minorHAnsi"/>
          <w:color w:val="222222"/>
          <w:sz w:val="22"/>
          <w:szCs w:val="22"/>
        </w:rPr>
        <w:t> and request the appropriate number of vials/cartridges required to provide sufficient drug for 16 weeks' worth of treatment (with up to 1 repeat allowed).</w:t>
      </w:r>
    </w:p>
    <w:p w14:paraId="56BAF8C6"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lastRenderedPageBreak/>
        <w:t>The authority application must be in writing and must include:</w:t>
      </w:r>
    </w:p>
    <w:p w14:paraId="5DE6996C"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1. A completed authority prescription form; AND</w:t>
      </w:r>
    </w:p>
    <w:p w14:paraId="7298A7BD"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2. A completed Growth Hormone Authority Application Supporting Information Form for initial treatment; AND</w:t>
      </w:r>
    </w:p>
    <w:p w14:paraId="6567DFE4"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3. (a) A minimum of 12 months of recent growth data (height and weight measurements) or a minimum of 6 months of recent growth data for an older child. The most recent data must not be more than three months old at the time of application; OR</w:t>
      </w:r>
    </w:p>
    <w:p w14:paraId="5D050CC3"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(b) Height and weight measurements, not more than three months old at the time of application, for a patient whose current height is at or below the 1</w:t>
      </w:r>
      <w:r w:rsidRPr="00331DDE">
        <w:rPr>
          <w:rFonts w:eastAsia="Times New Roman" w:cstheme="minorHAnsi"/>
          <w:color w:val="222222"/>
          <w:sz w:val="22"/>
          <w:szCs w:val="22"/>
          <w:bdr w:val="none" w:sz="0" w:space="0" w:color="auto" w:frame="1"/>
          <w:vertAlign w:val="superscript"/>
        </w:rPr>
        <w:t>st</w:t>
      </w:r>
      <w:r w:rsidRPr="00331DDE">
        <w:rPr>
          <w:rFonts w:eastAsia="Times New Roman" w:cstheme="minorHAnsi"/>
          <w:color w:val="222222"/>
          <w:sz w:val="22"/>
          <w:szCs w:val="22"/>
        </w:rPr>
        <w:t> percentile for age and sex; AND</w:t>
      </w:r>
    </w:p>
    <w:p w14:paraId="25C77400"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4. A bone age result performed within the last 12 months (except for a patient whose chronological age is 2.5 years or less); AND</w:t>
      </w:r>
    </w:p>
    <w:p w14:paraId="6FB9F1B3"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5. Confirmation that the patient has an estimated glomerular filtration rate less than 30mL/minute/1.73m</w:t>
      </w:r>
      <w:r w:rsidRPr="00331DDE">
        <w:rPr>
          <w:rFonts w:eastAsia="Times New Roman" w:cstheme="minorHAnsi"/>
          <w:color w:val="222222"/>
          <w:sz w:val="22"/>
          <w:szCs w:val="22"/>
          <w:bdr w:val="none" w:sz="0" w:space="0" w:color="auto" w:frame="1"/>
          <w:vertAlign w:val="superscript"/>
        </w:rPr>
        <w:t>2</w:t>
      </w:r>
      <w:r w:rsidRPr="00331DDE">
        <w:rPr>
          <w:rFonts w:eastAsia="Times New Roman" w:cstheme="minorHAnsi"/>
          <w:color w:val="222222"/>
          <w:sz w:val="22"/>
          <w:szCs w:val="22"/>
        </w:rPr>
        <w:t> ; AND</w:t>
      </w:r>
    </w:p>
    <w:p w14:paraId="4B7A47BA"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6. If a renal transplant has taken place, confirmation that the patient has undergone a 12 month period of observation following transplantation; AND</w:t>
      </w:r>
    </w:p>
    <w:p w14:paraId="2D1E9365"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7. The proprietary name (brand), form and strength of somatropin requested, and the number of vials/cartridges required to provide sufficient drug for 16 weeks' worth of treatment (with up to 1 repeat allowed).</w:t>
      </w:r>
    </w:p>
    <w:p w14:paraId="090967F4"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Prescribers must keep a copy of any clinical records relating to the prescription, including such records required to demonstrate that the prescription was written in compliance with any relevant circumstances and/or purposes. These records must be kept for 2 years after the date the prescription to which the records relate is written.</w:t>
      </w:r>
    </w:p>
    <w:p w14:paraId="4E549C30" w14:textId="77777777" w:rsidR="00331DDE" w:rsidRPr="00202826" w:rsidRDefault="00331DDE">
      <w:pPr>
        <w:rPr>
          <w:rFonts w:eastAsia="Times New Roman" w:cstheme="minorHAnsi"/>
          <w:color w:val="FF0000"/>
          <w:sz w:val="22"/>
          <w:szCs w:val="22"/>
        </w:rPr>
      </w:pPr>
      <w:r w:rsidRPr="00202826">
        <w:rPr>
          <w:rFonts w:eastAsia="Times New Roman" w:cstheme="minorHAnsi"/>
          <w:color w:val="FF0000"/>
          <w:sz w:val="22"/>
          <w:szCs w:val="22"/>
        </w:rPr>
        <w:br w:type="page"/>
      </w:r>
    </w:p>
    <w:p w14:paraId="31618235" w14:textId="43D7F166" w:rsidR="00331DDE" w:rsidRPr="00331DDE" w:rsidRDefault="00331DDE" w:rsidP="00331DDE">
      <w:pPr>
        <w:pStyle w:val="Heading1"/>
        <w:rPr>
          <w:rFonts w:asciiTheme="minorHAnsi" w:hAnsiTheme="minorHAnsi" w:cstheme="minorHAnsi"/>
        </w:rPr>
      </w:pPr>
      <w:bookmarkStart w:id="9" w:name="_Toc13510368"/>
      <w:r w:rsidRPr="00331DDE">
        <w:rPr>
          <w:rFonts w:asciiTheme="minorHAnsi" w:hAnsiTheme="minorHAnsi" w:cstheme="minorHAnsi"/>
        </w:rPr>
        <w:lastRenderedPageBreak/>
        <w:t>Short stature and poor body composition due to Prader-Willi syndrome</w:t>
      </w:r>
      <w:bookmarkEnd w:id="9"/>
    </w:p>
    <w:p w14:paraId="04CCE939" w14:textId="77777777" w:rsidR="00331DDE" w:rsidRPr="00331DDE" w:rsidRDefault="00331DDE" w:rsidP="00331DDE">
      <w:pPr>
        <w:rPr>
          <w:rFonts w:eastAsia="Times New Roman" w:cstheme="minorHAnsi"/>
          <w:color w:val="222222"/>
          <w:sz w:val="22"/>
          <w:szCs w:val="22"/>
        </w:rPr>
      </w:pPr>
      <w:bookmarkStart w:id="10" w:name="_GoBack"/>
      <w:r w:rsidRPr="00331DDE">
        <w:rPr>
          <w:rFonts w:eastAsia="Times New Roman" w:cstheme="minorHAnsi"/>
          <w:color w:val="222222"/>
          <w:sz w:val="22"/>
          <w:szCs w:val="22"/>
        </w:rPr>
        <w:t>Treatment Phase: Initial treatment</w:t>
      </w:r>
    </w:p>
    <w:p w14:paraId="53D7C4ED" w14:textId="77777777" w:rsidR="00331DDE" w:rsidRPr="00202826" w:rsidRDefault="00331DDE" w:rsidP="00331DDE">
      <w:pPr>
        <w:rPr>
          <w:rFonts w:eastAsia="Times New Roman" w:cstheme="minorHAnsi"/>
          <w:b/>
          <w:bCs/>
          <w:color w:val="222222"/>
          <w:sz w:val="22"/>
          <w:szCs w:val="22"/>
          <w:bdr w:val="none" w:sz="0" w:space="0" w:color="auto" w:frame="1"/>
        </w:rPr>
      </w:pPr>
    </w:p>
    <w:p w14:paraId="441BEB80" w14:textId="5F1215B6"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Clinical criteria:</w:t>
      </w:r>
    </w:p>
    <w:p w14:paraId="7E266563" w14:textId="77777777" w:rsidR="00331DDE" w:rsidRPr="00331DDE" w:rsidRDefault="00331DDE" w:rsidP="00331DDE">
      <w:pPr>
        <w:numPr>
          <w:ilvl w:val="0"/>
          <w:numId w:val="86"/>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have diagnostic results consistent with Prader-Willi syndrome (the condition must be genetically proven); OR</w:t>
      </w:r>
    </w:p>
    <w:p w14:paraId="220C89A4" w14:textId="77777777" w:rsidR="00331DDE" w:rsidRPr="00331DDE" w:rsidRDefault="00331DDE" w:rsidP="00331DDE">
      <w:pPr>
        <w:numPr>
          <w:ilvl w:val="0"/>
          <w:numId w:val="86"/>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have a clinical diagnosis of Prader-Willi syndrome, confirmed by a clinical geneticist,</w:t>
      </w:r>
    </w:p>
    <w:p w14:paraId="56092A06"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389E1307" w14:textId="77777777" w:rsidR="00331DDE" w:rsidRPr="00331DDE" w:rsidRDefault="00331DDE" w:rsidP="00331DDE">
      <w:pPr>
        <w:numPr>
          <w:ilvl w:val="0"/>
          <w:numId w:val="87"/>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have been evaluated via polysomnography for airway obstruction and apnoea within the last 12 months with no sleep disorders identified; OR</w:t>
      </w:r>
    </w:p>
    <w:p w14:paraId="234CCE22" w14:textId="77777777" w:rsidR="00331DDE" w:rsidRPr="00331DDE" w:rsidRDefault="00331DDE" w:rsidP="00331DDE">
      <w:pPr>
        <w:numPr>
          <w:ilvl w:val="0"/>
          <w:numId w:val="87"/>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have been evaluated via polysomnography for airway obstruction and apnoea within the last 12 months with sleep disorders identified which are not of sufficient severity to require treatment; OR</w:t>
      </w:r>
    </w:p>
    <w:p w14:paraId="548CB8FB" w14:textId="77777777" w:rsidR="00331DDE" w:rsidRPr="00331DDE" w:rsidRDefault="00331DDE" w:rsidP="00331DDE">
      <w:pPr>
        <w:numPr>
          <w:ilvl w:val="0"/>
          <w:numId w:val="87"/>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have been evaluated via polysomnography for airway obstruction and apnoea within the last 12 months with sleep disorders identified for which the patient is currently receiving ameliorative treatment,</w:t>
      </w:r>
    </w:p>
    <w:p w14:paraId="35A14BBA"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07E2F08C" w14:textId="77777777" w:rsidR="00331DDE" w:rsidRPr="00331DDE" w:rsidRDefault="00331DDE" w:rsidP="00331DDE">
      <w:pPr>
        <w:numPr>
          <w:ilvl w:val="0"/>
          <w:numId w:val="88"/>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not have uncontrolled morbid obesity, defined as a body weight greater than 200% of ideal body weight for height and sex, with ideal body weight derived by calculating the 50th percentile weight for the patient's current height,</w:t>
      </w:r>
    </w:p>
    <w:p w14:paraId="2832D366"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40E4ADCC" w14:textId="77777777" w:rsidR="00331DDE" w:rsidRPr="00331DDE" w:rsidRDefault="00331DDE" w:rsidP="00331DDE">
      <w:pPr>
        <w:numPr>
          <w:ilvl w:val="0"/>
          <w:numId w:val="89"/>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not have diabetes mellitus,</w:t>
      </w:r>
    </w:p>
    <w:p w14:paraId="1FEC385D"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443B05AD" w14:textId="77777777" w:rsidR="00331DDE" w:rsidRPr="00331DDE" w:rsidRDefault="00331DDE" w:rsidP="00331DDE">
      <w:pPr>
        <w:numPr>
          <w:ilvl w:val="0"/>
          <w:numId w:val="90"/>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not have a condition with a known risk of malignancy including chromosomal abnormalities such as Down and Bloom syndromes,</w:t>
      </w:r>
    </w:p>
    <w:p w14:paraId="2755990A"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19DCCA49" w14:textId="77777777" w:rsidR="00331DDE" w:rsidRPr="00331DDE" w:rsidRDefault="00331DDE" w:rsidP="00331DDE">
      <w:pPr>
        <w:numPr>
          <w:ilvl w:val="0"/>
          <w:numId w:val="91"/>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not have an active tumour or evidence of tumour growth or activity,</w:t>
      </w:r>
    </w:p>
    <w:p w14:paraId="46490818"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7AC855AF" w14:textId="77777777" w:rsidR="00331DDE" w:rsidRPr="00331DDE" w:rsidRDefault="00331DDE" w:rsidP="00331DDE">
      <w:pPr>
        <w:numPr>
          <w:ilvl w:val="0"/>
          <w:numId w:val="92"/>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not have previously received treatment under the PBS S100 Growth Hormone Program,</w:t>
      </w:r>
    </w:p>
    <w:p w14:paraId="728C1A06"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AND</w:t>
      </w:r>
    </w:p>
    <w:p w14:paraId="03CF5756" w14:textId="77777777" w:rsidR="00331DDE" w:rsidRPr="00331DDE" w:rsidRDefault="00331DDE" w:rsidP="00331DDE">
      <w:pPr>
        <w:numPr>
          <w:ilvl w:val="0"/>
          <w:numId w:val="93"/>
        </w:numPr>
        <w:ind w:left="0" w:firstLine="0"/>
        <w:rPr>
          <w:rFonts w:eastAsia="Times New Roman" w:cstheme="minorHAnsi"/>
          <w:color w:val="222222"/>
          <w:sz w:val="22"/>
          <w:szCs w:val="22"/>
        </w:rPr>
      </w:pPr>
      <w:r w:rsidRPr="00331DDE">
        <w:rPr>
          <w:rFonts w:eastAsia="Times New Roman" w:cstheme="minorHAnsi"/>
          <w:color w:val="222222"/>
          <w:sz w:val="22"/>
          <w:szCs w:val="22"/>
        </w:rPr>
        <w:t>Patient must not have a chronological age of 18 years or greater.</w:t>
      </w:r>
    </w:p>
    <w:p w14:paraId="080EDA72" w14:textId="77777777" w:rsidR="00331DDE" w:rsidRPr="00202826" w:rsidRDefault="00331DDE" w:rsidP="00331DDE">
      <w:pPr>
        <w:rPr>
          <w:rFonts w:eastAsia="Times New Roman" w:cstheme="minorHAnsi"/>
          <w:b/>
          <w:bCs/>
          <w:color w:val="222222"/>
          <w:sz w:val="22"/>
          <w:szCs w:val="22"/>
          <w:bdr w:val="none" w:sz="0" w:space="0" w:color="auto" w:frame="1"/>
        </w:rPr>
      </w:pPr>
    </w:p>
    <w:p w14:paraId="44563B29" w14:textId="17AAA1D3" w:rsidR="00331DDE" w:rsidRPr="00331DDE" w:rsidRDefault="00331DDE" w:rsidP="00331DDE">
      <w:pPr>
        <w:rPr>
          <w:rFonts w:eastAsia="Times New Roman" w:cstheme="minorHAnsi"/>
          <w:color w:val="222222"/>
          <w:sz w:val="22"/>
          <w:szCs w:val="22"/>
        </w:rPr>
      </w:pPr>
      <w:r w:rsidRPr="00331DDE">
        <w:rPr>
          <w:rFonts w:eastAsia="Times New Roman" w:cstheme="minorHAnsi"/>
          <w:b/>
          <w:bCs/>
          <w:color w:val="222222"/>
          <w:sz w:val="22"/>
          <w:szCs w:val="22"/>
          <w:bdr w:val="none" w:sz="0" w:space="0" w:color="auto" w:frame="1"/>
        </w:rPr>
        <w:t>Treatment criteria:</w:t>
      </w:r>
    </w:p>
    <w:p w14:paraId="3B286139" w14:textId="77777777" w:rsidR="00331DDE" w:rsidRPr="00331DDE" w:rsidRDefault="00331DDE" w:rsidP="00331DDE">
      <w:pPr>
        <w:numPr>
          <w:ilvl w:val="0"/>
          <w:numId w:val="94"/>
        </w:numPr>
        <w:ind w:left="0" w:firstLine="0"/>
        <w:rPr>
          <w:rFonts w:eastAsia="Times New Roman" w:cstheme="minorHAnsi"/>
          <w:color w:val="222222"/>
          <w:sz w:val="22"/>
          <w:szCs w:val="22"/>
        </w:rPr>
      </w:pPr>
      <w:r w:rsidRPr="00331DDE">
        <w:rPr>
          <w:rFonts w:eastAsia="Times New Roman" w:cstheme="minorHAnsi"/>
          <w:color w:val="222222"/>
          <w:sz w:val="22"/>
          <w:szCs w:val="22"/>
        </w:rPr>
        <w:t>Must be treated by a specialist or consultant physician in paediatric endocrinology; OR</w:t>
      </w:r>
    </w:p>
    <w:p w14:paraId="17268C92" w14:textId="77777777" w:rsidR="00331DDE" w:rsidRPr="00331DDE" w:rsidRDefault="00331DDE" w:rsidP="00331DDE">
      <w:pPr>
        <w:numPr>
          <w:ilvl w:val="0"/>
          <w:numId w:val="94"/>
        </w:numPr>
        <w:ind w:left="0" w:firstLine="0"/>
        <w:rPr>
          <w:rFonts w:eastAsia="Times New Roman" w:cstheme="minorHAnsi"/>
          <w:color w:val="222222"/>
          <w:sz w:val="22"/>
          <w:szCs w:val="22"/>
        </w:rPr>
      </w:pPr>
      <w:r w:rsidRPr="00331DDE">
        <w:rPr>
          <w:rFonts w:eastAsia="Times New Roman" w:cstheme="minorHAnsi"/>
          <w:color w:val="222222"/>
          <w:sz w:val="22"/>
          <w:szCs w:val="22"/>
        </w:rPr>
        <w:t>Must be treated by a specialist or consultant physician in general paediatrics in consultation with a nominated specialist or consultant physician in paediatric endocrinology.</w:t>
      </w:r>
    </w:p>
    <w:p w14:paraId="3CEB6DBE"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The maximum duration of the initial treatment phase is 32 weeks. Prescribers must determine an appropriate weekly dose in accordance with the dosing arrangements detailed in the </w:t>
      </w:r>
      <w:r w:rsidRPr="00331DDE">
        <w:rPr>
          <w:rFonts w:eastAsia="Times New Roman" w:cstheme="minorHAnsi"/>
          <w:b/>
          <w:bCs/>
          <w:color w:val="222222"/>
          <w:sz w:val="22"/>
          <w:szCs w:val="22"/>
          <w:bdr w:val="none" w:sz="0" w:space="0" w:color="auto" w:frame="1"/>
        </w:rPr>
        <w:t>National Health (Growth Hormone Program) Special Arrangement 2015</w:t>
      </w:r>
      <w:r w:rsidRPr="00331DDE">
        <w:rPr>
          <w:rFonts w:eastAsia="Times New Roman" w:cstheme="minorHAnsi"/>
          <w:color w:val="222222"/>
          <w:sz w:val="22"/>
          <w:szCs w:val="22"/>
        </w:rPr>
        <w:t> and request the appropriate number of vials/cartridges required to provide sufficient drug for 16 weeks' worth of treatment (with up to 1 repeat allowed).</w:t>
      </w:r>
    </w:p>
    <w:p w14:paraId="2EDDEE69"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The authority application must be in writing and must include:</w:t>
      </w:r>
    </w:p>
    <w:p w14:paraId="13100A90"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1. A completed authority prescription form; AND</w:t>
      </w:r>
    </w:p>
    <w:p w14:paraId="6971F6AC"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2. A completed Growth Hormone Authority Application Supporting Information Form for initial treatment; AND</w:t>
      </w:r>
    </w:p>
    <w:p w14:paraId="541125CF"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3. A minimum of 6 months of recent growth data (height, weight and waist circumference). The most recent data must not be older than three months; AND</w:t>
      </w:r>
    </w:p>
    <w:p w14:paraId="30E463AC"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lastRenderedPageBreak/>
        <w:t>4. The date at which skeletal maturity was achieved (if applicable) [Note: In patients whose chronological age is greater than 2.5 years, a bone age reading should be performed at least once every 12 months prior to attainment of skeletal maturity]; AND</w:t>
      </w:r>
    </w:p>
    <w:p w14:paraId="44D07F6C"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5. (a) Confirmation that the patient has diagnostic results consistent with Prader-Willi syndrome; OR</w:t>
      </w:r>
    </w:p>
    <w:p w14:paraId="0DB52615"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(b) Confirmation that the patient has a clinical diagnosis of Prader-Willi syndrome, confirmed by a clinical geneticist</w:t>
      </w:r>
    </w:p>
    <w:p w14:paraId="7982B0EB"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6. Confirmation that the patient has been evaluated via polysomnography for airway obstruction and apnoea within the last 12 months and any sleep disorders identified via polysomnography that required treatment have been addressed; AND</w:t>
      </w:r>
    </w:p>
    <w:p w14:paraId="25CA178A"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7. The proprietary name (brand), form and strength of somatropin requested, and the number of vials/cartridges required to provide sufficient drug for 16 weeks' worth of treatment (with 1 repeat allowed)</w:t>
      </w:r>
    </w:p>
    <w:p w14:paraId="54F5DFD3" w14:textId="77777777" w:rsidR="00331DDE" w:rsidRPr="00331DDE" w:rsidRDefault="00331DDE" w:rsidP="00331DDE">
      <w:pPr>
        <w:rPr>
          <w:rFonts w:eastAsia="Times New Roman" w:cstheme="minorHAnsi"/>
          <w:color w:val="222222"/>
          <w:sz w:val="22"/>
          <w:szCs w:val="22"/>
        </w:rPr>
      </w:pPr>
      <w:r w:rsidRPr="00331DDE">
        <w:rPr>
          <w:rFonts w:eastAsia="Times New Roman" w:cstheme="minorHAnsi"/>
          <w:color w:val="222222"/>
          <w:sz w:val="22"/>
          <w:szCs w:val="22"/>
        </w:rPr>
        <w:t>Prescribers must keep a copy of any clinical records relating to the prescription, including such records required to demonstrate that the prescription was written in compliance with any relevant circumstances and/or purposes. These records must be kept for 2 years after the date the prescription to which the records relate is written.</w:t>
      </w:r>
    </w:p>
    <w:bookmarkEnd w:id="10"/>
    <w:p w14:paraId="0DFADBBD" w14:textId="77777777" w:rsidR="009F7650" w:rsidRPr="00202826" w:rsidRDefault="009F7650" w:rsidP="00331DDE">
      <w:pPr>
        <w:rPr>
          <w:rFonts w:cstheme="minorHAnsi"/>
          <w:sz w:val="22"/>
          <w:szCs w:val="22"/>
        </w:rPr>
      </w:pPr>
    </w:p>
    <w:sectPr w:rsidR="009F7650" w:rsidRPr="00202826" w:rsidSect="006B3C8B">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78041" w14:textId="77777777" w:rsidR="00004A2B" w:rsidRDefault="00004A2B" w:rsidP="00331DDE">
      <w:r>
        <w:separator/>
      </w:r>
    </w:p>
  </w:endnote>
  <w:endnote w:type="continuationSeparator" w:id="0">
    <w:p w14:paraId="105AA390" w14:textId="77777777" w:rsidR="00004A2B" w:rsidRDefault="00004A2B" w:rsidP="0033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3286604"/>
      <w:docPartObj>
        <w:docPartGallery w:val="Page Numbers (Bottom of Page)"/>
        <w:docPartUnique/>
      </w:docPartObj>
    </w:sdtPr>
    <w:sdtContent>
      <w:p w14:paraId="7F75B871" w14:textId="2B87B0D9" w:rsidR="00331DDE" w:rsidRDefault="00331DDE" w:rsidP="00974B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95233E" w14:textId="77777777" w:rsidR="00331DDE" w:rsidRDefault="00331DDE" w:rsidP="00331D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8292647"/>
      <w:docPartObj>
        <w:docPartGallery w:val="Page Numbers (Bottom of Page)"/>
        <w:docPartUnique/>
      </w:docPartObj>
    </w:sdtPr>
    <w:sdtContent>
      <w:p w14:paraId="1E4418DF" w14:textId="1441E3B4" w:rsidR="00331DDE" w:rsidRDefault="00331DDE" w:rsidP="00974B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1C3C59" w14:textId="77777777" w:rsidR="00331DDE" w:rsidRDefault="00331DDE" w:rsidP="00331D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E2D50" w14:textId="77777777" w:rsidR="00004A2B" w:rsidRDefault="00004A2B" w:rsidP="00331DDE">
      <w:r>
        <w:separator/>
      </w:r>
    </w:p>
  </w:footnote>
  <w:footnote w:type="continuationSeparator" w:id="0">
    <w:p w14:paraId="26A82E9E" w14:textId="77777777" w:rsidR="00004A2B" w:rsidRDefault="00004A2B" w:rsidP="00331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5CCA"/>
    <w:multiLevelType w:val="multilevel"/>
    <w:tmpl w:val="0332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E7260"/>
    <w:multiLevelType w:val="multilevel"/>
    <w:tmpl w:val="2B0C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A60FF"/>
    <w:multiLevelType w:val="multilevel"/>
    <w:tmpl w:val="CA8A9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7440D2"/>
    <w:multiLevelType w:val="multilevel"/>
    <w:tmpl w:val="F8D48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091EA3"/>
    <w:multiLevelType w:val="multilevel"/>
    <w:tmpl w:val="1BCE0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1907FF"/>
    <w:multiLevelType w:val="multilevel"/>
    <w:tmpl w:val="E0BE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B94185"/>
    <w:multiLevelType w:val="multilevel"/>
    <w:tmpl w:val="77F0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EF4643"/>
    <w:multiLevelType w:val="multilevel"/>
    <w:tmpl w:val="545CA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B14D2E"/>
    <w:multiLevelType w:val="multilevel"/>
    <w:tmpl w:val="2D022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DC5139"/>
    <w:multiLevelType w:val="multilevel"/>
    <w:tmpl w:val="9EC0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3975AD"/>
    <w:multiLevelType w:val="multilevel"/>
    <w:tmpl w:val="6230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037897"/>
    <w:multiLevelType w:val="multilevel"/>
    <w:tmpl w:val="0FF4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4934C2"/>
    <w:multiLevelType w:val="multilevel"/>
    <w:tmpl w:val="6F405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CA765F"/>
    <w:multiLevelType w:val="multilevel"/>
    <w:tmpl w:val="B4D60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AA0FC4"/>
    <w:multiLevelType w:val="multilevel"/>
    <w:tmpl w:val="EA66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123983"/>
    <w:multiLevelType w:val="multilevel"/>
    <w:tmpl w:val="1E38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525037"/>
    <w:multiLevelType w:val="multilevel"/>
    <w:tmpl w:val="158A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E82746"/>
    <w:multiLevelType w:val="multilevel"/>
    <w:tmpl w:val="D3A6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3F0035"/>
    <w:multiLevelType w:val="multilevel"/>
    <w:tmpl w:val="2092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6E1F08"/>
    <w:multiLevelType w:val="multilevel"/>
    <w:tmpl w:val="4A96A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E2275F"/>
    <w:multiLevelType w:val="multilevel"/>
    <w:tmpl w:val="5810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9D4F48"/>
    <w:multiLevelType w:val="multilevel"/>
    <w:tmpl w:val="8A1C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4D77888"/>
    <w:multiLevelType w:val="multilevel"/>
    <w:tmpl w:val="B430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7825A1F"/>
    <w:multiLevelType w:val="multilevel"/>
    <w:tmpl w:val="48F2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8056F04"/>
    <w:multiLevelType w:val="multilevel"/>
    <w:tmpl w:val="974E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8574164"/>
    <w:multiLevelType w:val="multilevel"/>
    <w:tmpl w:val="A81A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9821A63"/>
    <w:multiLevelType w:val="multilevel"/>
    <w:tmpl w:val="1328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C3953F8"/>
    <w:multiLevelType w:val="multilevel"/>
    <w:tmpl w:val="383C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CA73FAF"/>
    <w:multiLevelType w:val="multilevel"/>
    <w:tmpl w:val="ABBCC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1A953D6"/>
    <w:multiLevelType w:val="multilevel"/>
    <w:tmpl w:val="0EA4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361416F"/>
    <w:multiLevelType w:val="multilevel"/>
    <w:tmpl w:val="0DA48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46C57D6"/>
    <w:multiLevelType w:val="multilevel"/>
    <w:tmpl w:val="FD62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4B367EA"/>
    <w:multiLevelType w:val="multilevel"/>
    <w:tmpl w:val="834E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4EB4C6A"/>
    <w:multiLevelType w:val="multilevel"/>
    <w:tmpl w:val="8E2A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69B2962"/>
    <w:multiLevelType w:val="multilevel"/>
    <w:tmpl w:val="83DA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6E23FE7"/>
    <w:multiLevelType w:val="multilevel"/>
    <w:tmpl w:val="A01A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8972C59"/>
    <w:multiLevelType w:val="multilevel"/>
    <w:tmpl w:val="3BCEA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8B53BBC"/>
    <w:multiLevelType w:val="multilevel"/>
    <w:tmpl w:val="DB22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9D01F04"/>
    <w:multiLevelType w:val="multilevel"/>
    <w:tmpl w:val="151C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A5A3E5B"/>
    <w:multiLevelType w:val="multilevel"/>
    <w:tmpl w:val="B5AA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B1A0FFF"/>
    <w:multiLevelType w:val="multilevel"/>
    <w:tmpl w:val="9458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DF80C18"/>
    <w:multiLevelType w:val="multilevel"/>
    <w:tmpl w:val="5B82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45E00FF"/>
    <w:multiLevelType w:val="multilevel"/>
    <w:tmpl w:val="AAE21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5AB075B"/>
    <w:multiLevelType w:val="multilevel"/>
    <w:tmpl w:val="DEE4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779425B"/>
    <w:multiLevelType w:val="multilevel"/>
    <w:tmpl w:val="DDAC9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78E6041"/>
    <w:multiLevelType w:val="multilevel"/>
    <w:tmpl w:val="D154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87858FE"/>
    <w:multiLevelType w:val="multilevel"/>
    <w:tmpl w:val="92D2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8C31588"/>
    <w:multiLevelType w:val="multilevel"/>
    <w:tmpl w:val="86B2F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A5A2B07"/>
    <w:multiLevelType w:val="multilevel"/>
    <w:tmpl w:val="DF6E1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A636EDB"/>
    <w:multiLevelType w:val="multilevel"/>
    <w:tmpl w:val="095A0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CAF2D03"/>
    <w:multiLevelType w:val="multilevel"/>
    <w:tmpl w:val="03A89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0934E55"/>
    <w:multiLevelType w:val="multilevel"/>
    <w:tmpl w:val="C8B2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0E22D81"/>
    <w:multiLevelType w:val="multilevel"/>
    <w:tmpl w:val="E3E08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17D01F6"/>
    <w:multiLevelType w:val="multilevel"/>
    <w:tmpl w:val="C1F6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44D572C"/>
    <w:multiLevelType w:val="multilevel"/>
    <w:tmpl w:val="14707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4AF0450"/>
    <w:multiLevelType w:val="multilevel"/>
    <w:tmpl w:val="5F76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78608DD"/>
    <w:multiLevelType w:val="multilevel"/>
    <w:tmpl w:val="49D84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8DA6EFB"/>
    <w:multiLevelType w:val="multilevel"/>
    <w:tmpl w:val="D3286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8E3475B"/>
    <w:multiLevelType w:val="multilevel"/>
    <w:tmpl w:val="4D76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9060065"/>
    <w:multiLevelType w:val="multilevel"/>
    <w:tmpl w:val="8084E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9CB7C0B"/>
    <w:multiLevelType w:val="multilevel"/>
    <w:tmpl w:val="FBFE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9FB388A"/>
    <w:multiLevelType w:val="multilevel"/>
    <w:tmpl w:val="AB4E5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A7F1032"/>
    <w:multiLevelType w:val="multilevel"/>
    <w:tmpl w:val="0D9EC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B127F42"/>
    <w:multiLevelType w:val="multilevel"/>
    <w:tmpl w:val="9D36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B616929"/>
    <w:multiLevelType w:val="multilevel"/>
    <w:tmpl w:val="31608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B7A2449"/>
    <w:multiLevelType w:val="multilevel"/>
    <w:tmpl w:val="91B8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13C01B5"/>
    <w:multiLevelType w:val="multilevel"/>
    <w:tmpl w:val="4C98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29124D4"/>
    <w:multiLevelType w:val="multilevel"/>
    <w:tmpl w:val="3DDC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2D66EF5"/>
    <w:multiLevelType w:val="multilevel"/>
    <w:tmpl w:val="DCD4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4AA16B3"/>
    <w:multiLevelType w:val="multilevel"/>
    <w:tmpl w:val="E67EF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5041459"/>
    <w:multiLevelType w:val="multilevel"/>
    <w:tmpl w:val="BBE60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5721A74"/>
    <w:multiLevelType w:val="multilevel"/>
    <w:tmpl w:val="2576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7975715"/>
    <w:multiLevelType w:val="multilevel"/>
    <w:tmpl w:val="076E4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83931BA"/>
    <w:multiLevelType w:val="multilevel"/>
    <w:tmpl w:val="C012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8850123"/>
    <w:multiLevelType w:val="multilevel"/>
    <w:tmpl w:val="8A84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8EE48A4"/>
    <w:multiLevelType w:val="multilevel"/>
    <w:tmpl w:val="1558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9B04514"/>
    <w:multiLevelType w:val="multilevel"/>
    <w:tmpl w:val="C0341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A6F64FC"/>
    <w:multiLevelType w:val="multilevel"/>
    <w:tmpl w:val="B31A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F350CC4"/>
    <w:multiLevelType w:val="multilevel"/>
    <w:tmpl w:val="D444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18B3A52"/>
    <w:multiLevelType w:val="multilevel"/>
    <w:tmpl w:val="338E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3E27517"/>
    <w:multiLevelType w:val="multilevel"/>
    <w:tmpl w:val="9DAE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4AA5D28"/>
    <w:multiLevelType w:val="multilevel"/>
    <w:tmpl w:val="2F02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55D47E9"/>
    <w:multiLevelType w:val="multilevel"/>
    <w:tmpl w:val="0294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62C4280"/>
    <w:multiLevelType w:val="multilevel"/>
    <w:tmpl w:val="CB146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653242D"/>
    <w:multiLevelType w:val="multilevel"/>
    <w:tmpl w:val="F25E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6697A51"/>
    <w:multiLevelType w:val="multilevel"/>
    <w:tmpl w:val="6F30F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6CF3673"/>
    <w:multiLevelType w:val="multilevel"/>
    <w:tmpl w:val="3F4A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7CB677D"/>
    <w:multiLevelType w:val="multilevel"/>
    <w:tmpl w:val="D3C6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89A0EFA"/>
    <w:multiLevelType w:val="multilevel"/>
    <w:tmpl w:val="746E2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8BC19A4"/>
    <w:multiLevelType w:val="multilevel"/>
    <w:tmpl w:val="E24E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AA43CA4"/>
    <w:multiLevelType w:val="multilevel"/>
    <w:tmpl w:val="34BA3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BC9164C"/>
    <w:multiLevelType w:val="multilevel"/>
    <w:tmpl w:val="5276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D7B38DD"/>
    <w:multiLevelType w:val="multilevel"/>
    <w:tmpl w:val="82A4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F496AB0"/>
    <w:multiLevelType w:val="multilevel"/>
    <w:tmpl w:val="43F4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2"/>
  </w:num>
  <w:num w:numId="2">
    <w:abstractNumId w:val="19"/>
  </w:num>
  <w:num w:numId="3">
    <w:abstractNumId w:val="53"/>
  </w:num>
  <w:num w:numId="4">
    <w:abstractNumId w:val="4"/>
  </w:num>
  <w:num w:numId="5">
    <w:abstractNumId w:val="86"/>
  </w:num>
  <w:num w:numId="6">
    <w:abstractNumId w:val="17"/>
  </w:num>
  <w:num w:numId="7">
    <w:abstractNumId w:val="44"/>
  </w:num>
  <w:num w:numId="8">
    <w:abstractNumId w:val="89"/>
  </w:num>
  <w:num w:numId="9">
    <w:abstractNumId w:val="35"/>
  </w:num>
  <w:num w:numId="10">
    <w:abstractNumId w:val="38"/>
  </w:num>
  <w:num w:numId="11">
    <w:abstractNumId w:val="9"/>
  </w:num>
  <w:num w:numId="12">
    <w:abstractNumId w:val="34"/>
  </w:num>
  <w:num w:numId="13">
    <w:abstractNumId w:val="3"/>
  </w:num>
  <w:num w:numId="14">
    <w:abstractNumId w:val="64"/>
  </w:num>
  <w:num w:numId="15">
    <w:abstractNumId w:val="81"/>
  </w:num>
  <w:num w:numId="16">
    <w:abstractNumId w:val="39"/>
  </w:num>
  <w:num w:numId="17">
    <w:abstractNumId w:val="56"/>
  </w:num>
  <w:num w:numId="18">
    <w:abstractNumId w:val="59"/>
  </w:num>
  <w:num w:numId="19">
    <w:abstractNumId w:val="43"/>
  </w:num>
  <w:num w:numId="20">
    <w:abstractNumId w:val="15"/>
  </w:num>
  <w:num w:numId="21">
    <w:abstractNumId w:val="29"/>
  </w:num>
  <w:num w:numId="22">
    <w:abstractNumId w:val="45"/>
  </w:num>
  <w:num w:numId="23">
    <w:abstractNumId w:val="21"/>
  </w:num>
  <w:num w:numId="24">
    <w:abstractNumId w:val="12"/>
  </w:num>
  <w:num w:numId="25">
    <w:abstractNumId w:val="80"/>
  </w:num>
  <w:num w:numId="26">
    <w:abstractNumId w:val="65"/>
  </w:num>
  <w:num w:numId="27">
    <w:abstractNumId w:val="22"/>
  </w:num>
  <w:num w:numId="28">
    <w:abstractNumId w:val="7"/>
  </w:num>
  <w:num w:numId="29">
    <w:abstractNumId w:val="27"/>
  </w:num>
  <w:num w:numId="30">
    <w:abstractNumId w:val="63"/>
  </w:num>
  <w:num w:numId="31">
    <w:abstractNumId w:val="74"/>
  </w:num>
  <w:num w:numId="32">
    <w:abstractNumId w:val="46"/>
  </w:num>
  <w:num w:numId="33">
    <w:abstractNumId w:val="23"/>
  </w:num>
  <w:num w:numId="34">
    <w:abstractNumId w:val="28"/>
  </w:num>
  <w:num w:numId="35">
    <w:abstractNumId w:val="93"/>
  </w:num>
  <w:num w:numId="36">
    <w:abstractNumId w:val="51"/>
  </w:num>
  <w:num w:numId="37">
    <w:abstractNumId w:val="50"/>
  </w:num>
  <w:num w:numId="38">
    <w:abstractNumId w:val="1"/>
  </w:num>
  <w:num w:numId="39">
    <w:abstractNumId w:val="14"/>
  </w:num>
  <w:num w:numId="40">
    <w:abstractNumId w:val="42"/>
  </w:num>
  <w:num w:numId="41">
    <w:abstractNumId w:val="26"/>
  </w:num>
  <w:num w:numId="42">
    <w:abstractNumId w:val="60"/>
  </w:num>
  <w:num w:numId="43">
    <w:abstractNumId w:val="78"/>
  </w:num>
  <w:num w:numId="44">
    <w:abstractNumId w:val="31"/>
  </w:num>
  <w:num w:numId="45">
    <w:abstractNumId w:val="72"/>
  </w:num>
  <w:num w:numId="46">
    <w:abstractNumId w:val="69"/>
  </w:num>
  <w:num w:numId="47">
    <w:abstractNumId w:val="10"/>
  </w:num>
  <w:num w:numId="48">
    <w:abstractNumId w:val="61"/>
  </w:num>
  <w:num w:numId="49">
    <w:abstractNumId w:val="54"/>
  </w:num>
  <w:num w:numId="50">
    <w:abstractNumId w:val="37"/>
  </w:num>
  <w:num w:numId="51">
    <w:abstractNumId w:val="90"/>
  </w:num>
  <w:num w:numId="52">
    <w:abstractNumId w:val="25"/>
  </w:num>
  <w:num w:numId="53">
    <w:abstractNumId w:val="40"/>
  </w:num>
  <w:num w:numId="54">
    <w:abstractNumId w:val="66"/>
  </w:num>
  <w:num w:numId="55">
    <w:abstractNumId w:val="33"/>
  </w:num>
  <w:num w:numId="56">
    <w:abstractNumId w:val="55"/>
  </w:num>
  <w:num w:numId="57">
    <w:abstractNumId w:val="82"/>
  </w:num>
  <w:num w:numId="58">
    <w:abstractNumId w:val="85"/>
  </w:num>
  <w:num w:numId="59">
    <w:abstractNumId w:val="11"/>
  </w:num>
  <w:num w:numId="60">
    <w:abstractNumId w:val="24"/>
  </w:num>
  <w:num w:numId="61">
    <w:abstractNumId w:val="6"/>
  </w:num>
  <w:num w:numId="62">
    <w:abstractNumId w:val="91"/>
  </w:num>
  <w:num w:numId="63">
    <w:abstractNumId w:val="77"/>
  </w:num>
  <w:num w:numId="64">
    <w:abstractNumId w:val="2"/>
  </w:num>
  <w:num w:numId="65">
    <w:abstractNumId w:val="0"/>
  </w:num>
  <w:num w:numId="66">
    <w:abstractNumId w:val="49"/>
  </w:num>
  <w:num w:numId="67">
    <w:abstractNumId w:val="8"/>
  </w:num>
  <w:num w:numId="68">
    <w:abstractNumId w:val="47"/>
  </w:num>
  <w:num w:numId="69">
    <w:abstractNumId w:val="52"/>
  </w:num>
  <w:num w:numId="70">
    <w:abstractNumId w:val="76"/>
  </w:num>
  <w:num w:numId="71">
    <w:abstractNumId w:val="32"/>
  </w:num>
  <w:num w:numId="72">
    <w:abstractNumId w:val="13"/>
  </w:num>
  <w:num w:numId="73">
    <w:abstractNumId w:val="58"/>
  </w:num>
  <w:num w:numId="74">
    <w:abstractNumId w:val="41"/>
  </w:num>
  <w:num w:numId="75">
    <w:abstractNumId w:val="36"/>
  </w:num>
  <w:num w:numId="76">
    <w:abstractNumId w:val="84"/>
  </w:num>
  <w:num w:numId="77">
    <w:abstractNumId w:val="16"/>
  </w:num>
  <w:num w:numId="78">
    <w:abstractNumId w:val="30"/>
  </w:num>
  <w:num w:numId="79">
    <w:abstractNumId w:val="83"/>
  </w:num>
  <w:num w:numId="80">
    <w:abstractNumId w:val="18"/>
  </w:num>
  <w:num w:numId="81">
    <w:abstractNumId w:val="62"/>
  </w:num>
  <w:num w:numId="82">
    <w:abstractNumId w:val="73"/>
  </w:num>
  <w:num w:numId="83">
    <w:abstractNumId w:val="75"/>
  </w:num>
  <w:num w:numId="84">
    <w:abstractNumId w:val="20"/>
  </w:num>
  <w:num w:numId="85">
    <w:abstractNumId w:val="67"/>
  </w:num>
  <w:num w:numId="86">
    <w:abstractNumId w:val="70"/>
  </w:num>
  <w:num w:numId="87">
    <w:abstractNumId w:val="88"/>
  </w:num>
  <w:num w:numId="88">
    <w:abstractNumId w:val="87"/>
  </w:num>
  <w:num w:numId="89">
    <w:abstractNumId w:val="57"/>
  </w:num>
  <w:num w:numId="90">
    <w:abstractNumId w:val="48"/>
  </w:num>
  <w:num w:numId="91">
    <w:abstractNumId w:val="68"/>
  </w:num>
  <w:num w:numId="92">
    <w:abstractNumId w:val="5"/>
  </w:num>
  <w:num w:numId="93">
    <w:abstractNumId w:val="79"/>
  </w:num>
  <w:num w:numId="94">
    <w:abstractNumId w:val="7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DDE"/>
    <w:rsid w:val="00004A2B"/>
    <w:rsid w:val="00035F12"/>
    <w:rsid w:val="000433A6"/>
    <w:rsid w:val="00096015"/>
    <w:rsid w:val="00100057"/>
    <w:rsid w:val="0011130A"/>
    <w:rsid w:val="00115A28"/>
    <w:rsid w:val="0013404F"/>
    <w:rsid w:val="00153155"/>
    <w:rsid w:val="00190854"/>
    <w:rsid w:val="001A4165"/>
    <w:rsid w:val="001D39E6"/>
    <w:rsid w:val="00202826"/>
    <w:rsid w:val="002311E1"/>
    <w:rsid w:val="00244E53"/>
    <w:rsid w:val="00265B34"/>
    <w:rsid w:val="00270AF2"/>
    <w:rsid w:val="002C060A"/>
    <w:rsid w:val="00331DDE"/>
    <w:rsid w:val="003715BB"/>
    <w:rsid w:val="003A7CC7"/>
    <w:rsid w:val="003E1AF9"/>
    <w:rsid w:val="0045255C"/>
    <w:rsid w:val="00474A3C"/>
    <w:rsid w:val="004A0B2B"/>
    <w:rsid w:val="004C0B13"/>
    <w:rsid w:val="00507275"/>
    <w:rsid w:val="00522741"/>
    <w:rsid w:val="00585844"/>
    <w:rsid w:val="00586BCD"/>
    <w:rsid w:val="005C015C"/>
    <w:rsid w:val="005D2A3E"/>
    <w:rsid w:val="005D7A94"/>
    <w:rsid w:val="006771EC"/>
    <w:rsid w:val="00693249"/>
    <w:rsid w:val="006B3C8B"/>
    <w:rsid w:val="006D52E9"/>
    <w:rsid w:val="006E092F"/>
    <w:rsid w:val="006F1FD2"/>
    <w:rsid w:val="0070012A"/>
    <w:rsid w:val="007604FE"/>
    <w:rsid w:val="00772371"/>
    <w:rsid w:val="007824F2"/>
    <w:rsid w:val="007B5654"/>
    <w:rsid w:val="007C5E8F"/>
    <w:rsid w:val="00815366"/>
    <w:rsid w:val="008229A5"/>
    <w:rsid w:val="0083604B"/>
    <w:rsid w:val="0088552E"/>
    <w:rsid w:val="008B24B8"/>
    <w:rsid w:val="008E7DD7"/>
    <w:rsid w:val="008F7CB3"/>
    <w:rsid w:val="00900B3C"/>
    <w:rsid w:val="009025CB"/>
    <w:rsid w:val="00905ED5"/>
    <w:rsid w:val="00953128"/>
    <w:rsid w:val="009831F5"/>
    <w:rsid w:val="00985DB4"/>
    <w:rsid w:val="009B5C03"/>
    <w:rsid w:val="009C79AF"/>
    <w:rsid w:val="009F11A1"/>
    <w:rsid w:val="009F2FA1"/>
    <w:rsid w:val="009F7650"/>
    <w:rsid w:val="00A91E29"/>
    <w:rsid w:val="00AC2867"/>
    <w:rsid w:val="00AF1538"/>
    <w:rsid w:val="00B137D2"/>
    <w:rsid w:val="00B44073"/>
    <w:rsid w:val="00B66A19"/>
    <w:rsid w:val="00BB35B9"/>
    <w:rsid w:val="00BC1028"/>
    <w:rsid w:val="00BD417E"/>
    <w:rsid w:val="00C1282C"/>
    <w:rsid w:val="00C4457A"/>
    <w:rsid w:val="00C53592"/>
    <w:rsid w:val="00C61234"/>
    <w:rsid w:val="00C728A1"/>
    <w:rsid w:val="00C87AF6"/>
    <w:rsid w:val="00CC29A2"/>
    <w:rsid w:val="00CD15C4"/>
    <w:rsid w:val="00D129E9"/>
    <w:rsid w:val="00D14ABE"/>
    <w:rsid w:val="00D2439D"/>
    <w:rsid w:val="00D2584F"/>
    <w:rsid w:val="00D878C6"/>
    <w:rsid w:val="00DA5487"/>
    <w:rsid w:val="00DC2C08"/>
    <w:rsid w:val="00EA7829"/>
    <w:rsid w:val="00EB4178"/>
    <w:rsid w:val="00F35D20"/>
    <w:rsid w:val="00FD507E"/>
    <w:rsid w:val="00FD6E5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2287F121"/>
  <w15:chartTrackingRefBased/>
  <w15:docId w15:val="{E24F5EF9-A886-7544-8236-7C68C1A4C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826"/>
  </w:style>
  <w:style w:type="paragraph" w:styleId="Heading1">
    <w:name w:val="heading 1"/>
    <w:basedOn w:val="Normal"/>
    <w:next w:val="Normal"/>
    <w:link w:val="Heading1Char"/>
    <w:uiPriority w:val="9"/>
    <w:qFormat/>
    <w:rsid w:val="00331DD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2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52E9"/>
    <w:rPr>
      <w:rFonts w:ascii="Times New Roman" w:hAnsi="Times New Roman" w:cs="Times New Roman"/>
      <w:sz w:val="18"/>
      <w:szCs w:val="18"/>
    </w:rPr>
  </w:style>
  <w:style w:type="paragraph" w:styleId="NormalWeb">
    <w:name w:val="Normal (Web)"/>
    <w:basedOn w:val="Normal"/>
    <w:uiPriority w:val="99"/>
    <w:semiHidden/>
    <w:unhideWhenUsed/>
    <w:rsid w:val="00331DD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31DDE"/>
  </w:style>
  <w:style w:type="character" w:customStyle="1" w:styleId="Heading1Char">
    <w:name w:val="Heading 1 Char"/>
    <w:basedOn w:val="DefaultParagraphFont"/>
    <w:link w:val="Heading1"/>
    <w:uiPriority w:val="9"/>
    <w:rsid w:val="00331DDE"/>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331DDE"/>
    <w:pPr>
      <w:tabs>
        <w:tab w:val="center" w:pos="4680"/>
        <w:tab w:val="right" w:pos="9360"/>
      </w:tabs>
    </w:pPr>
  </w:style>
  <w:style w:type="character" w:customStyle="1" w:styleId="FooterChar">
    <w:name w:val="Footer Char"/>
    <w:basedOn w:val="DefaultParagraphFont"/>
    <w:link w:val="Footer"/>
    <w:uiPriority w:val="99"/>
    <w:rsid w:val="00331DDE"/>
  </w:style>
  <w:style w:type="character" w:styleId="PageNumber">
    <w:name w:val="page number"/>
    <w:basedOn w:val="DefaultParagraphFont"/>
    <w:uiPriority w:val="99"/>
    <w:semiHidden/>
    <w:unhideWhenUsed/>
    <w:rsid w:val="00331DDE"/>
  </w:style>
  <w:style w:type="paragraph" w:styleId="TOC1">
    <w:name w:val="toc 1"/>
    <w:basedOn w:val="Normal"/>
    <w:next w:val="Normal"/>
    <w:autoRedefine/>
    <w:uiPriority w:val="39"/>
    <w:unhideWhenUsed/>
    <w:rsid w:val="00331DDE"/>
    <w:pPr>
      <w:spacing w:before="360"/>
    </w:pPr>
    <w:rPr>
      <w:rFonts w:asciiTheme="majorHAnsi" w:hAnsiTheme="majorHAnsi" w:cstheme="majorHAnsi"/>
      <w:b/>
      <w:bCs/>
      <w:caps/>
    </w:rPr>
  </w:style>
  <w:style w:type="paragraph" w:styleId="TOC2">
    <w:name w:val="toc 2"/>
    <w:basedOn w:val="Normal"/>
    <w:next w:val="Normal"/>
    <w:autoRedefine/>
    <w:uiPriority w:val="39"/>
    <w:unhideWhenUsed/>
    <w:rsid w:val="00331DDE"/>
    <w:pPr>
      <w:spacing w:before="240"/>
    </w:pPr>
    <w:rPr>
      <w:rFonts w:cstheme="minorHAnsi"/>
      <w:b/>
      <w:bCs/>
      <w:sz w:val="20"/>
      <w:szCs w:val="20"/>
    </w:rPr>
  </w:style>
  <w:style w:type="paragraph" w:styleId="TOC3">
    <w:name w:val="toc 3"/>
    <w:basedOn w:val="Normal"/>
    <w:next w:val="Normal"/>
    <w:autoRedefine/>
    <w:uiPriority w:val="39"/>
    <w:unhideWhenUsed/>
    <w:rsid w:val="00331DDE"/>
    <w:pPr>
      <w:ind w:left="240"/>
    </w:pPr>
    <w:rPr>
      <w:rFonts w:cstheme="minorHAnsi"/>
      <w:sz w:val="20"/>
      <w:szCs w:val="20"/>
    </w:rPr>
  </w:style>
  <w:style w:type="paragraph" w:styleId="TOC4">
    <w:name w:val="toc 4"/>
    <w:basedOn w:val="Normal"/>
    <w:next w:val="Normal"/>
    <w:autoRedefine/>
    <w:uiPriority w:val="39"/>
    <w:unhideWhenUsed/>
    <w:rsid w:val="00331DDE"/>
    <w:pPr>
      <w:ind w:left="480"/>
    </w:pPr>
    <w:rPr>
      <w:rFonts w:cstheme="minorHAnsi"/>
      <w:sz w:val="20"/>
      <w:szCs w:val="20"/>
    </w:rPr>
  </w:style>
  <w:style w:type="paragraph" w:styleId="TOC5">
    <w:name w:val="toc 5"/>
    <w:basedOn w:val="Normal"/>
    <w:next w:val="Normal"/>
    <w:autoRedefine/>
    <w:uiPriority w:val="39"/>
    <w:unhideWhenUsed/>
    <w:rsid w:val="00331DDE"/>
    <w:pPr>
      <w:ind w:left="720"/>
    </w:pPr>
    <w:rPr>
      <w:rFonts w:cstheme="minorHAnsi"/>
      <w:sz w:val="20"/>
      <w:szCs w:val="20"/>
    </w:rPr>
  </w:style>
  <w:style w:type="paragraph" w:styleId="TOC6">
    <w:name w:val="toc 6"/>
    <w:basedOn w:val="Normal"/>
    <w:next w:val="Normal"/>
    <w:autoRedefine/>
    <w:uiPriority w:val="39"/>
    <w:unhideWhenUsed/>
    <w:rsid w:val="00331DDE"/>
    <w:pPr>
      <w:ind w:left="960"/>
    </w:pPr>
    <w:rPr>
      <w:rFonts w:cstheme="minorHAnsi"/>
      <w:sz w:val="20"/>
      <w:szCs w:val="20"/>
    </w:rPr>
  </w:style>
  <w:style w:type="paragraph" w:styleId="TOC7">
    <w:name w:val="toc 7"/>
    <w:basedOn w:val="Normal"/>
    <w:next w:val="Normal"/>
    <w:autoRedefine/>
    <w:uiPriority w:val="39"/>
    <w:unhideWhenUsed/>
    <w:rsid w:val="00331DDE"/>
    <w:pPr>
      <w:ind w:left="1200"/>
    </w:pPr>
    <w:rPr>
      <w:rFonts w:cstheme="minorHAnsi"/>
      <w:sz w:val="20"/>
      <w:szCs w:val="20"/>
    </w:rPr>
  </w:style>
  <w:style w:type="paragraph" w:styleId="TOC8">
    <w:name w:val="toc 8"/>
    <w:basedOn w:val="Normal"/>
    <w:next w:val="Normal"/>
    <w:autoRedefine/>
    <w:uiPriority w:val="39"/>
    <w:unhideWhenUsed/>
    <w:rsid w:val="00331DDE"/>
    <w:pPr>
      <w:ind w:left="1440"/>
    </w:pPr>
    <w:rPr>
      <w:rFonts w:cstheme="minorHAnsi"/>
      <w:sz w:val="20"/>
      <w:szCs w:val="20"/>
    </w:rPr>
  </w:style>
  <w:style w:type="paragraph" w:styleId="TOC9">
    <w:name w:val="toc 9"/>
    <w:basedOn w:val="Normal"/>
    <w:next w:val="Normal"/>
    <w:autoRedefine/>
    <w:uiPriority w:val="39"/>
    <w:unhideWhenUsed/>
    <w:rsid w:val="00331DDE"/>
    <w:pPr>
      <w:ind w:left="1680"/>
    </w:pPr>
    <w:rPr>
      <w:rFonts w:cstheme="minorHAnsi"/>
      <w:sz w:val="20"/>
      <w:szCs w:val="20"/>
    </w:rPr>
  </w:style>
  <w:style w:type="character" w:styleId="Hyperlink">
    <w:name w:val="Hyperlink"/>
    <w:basedOn w:val="DefaultParagraphFont"/>
    <w:uiPriority w:val="99"/>
    <w:unhideWhenUsed/>
    <w:rsid w:val="00331D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472583">
      <w:bodyDiv w:val="1"/>
      <w:marLeft w:val="0"/>
      <w:marRight w:val="0"/>
      <w:marTop w:val="0"/>
      <w:marBottom w:val="0"/>
      <w:divBdr>
        <w:top w:val="none" w:sz="0" w:space="0" w:color="auto"/>
        <w:left w:val="none" w:sz="0" w:space="0" w:color="auto"/>
        <w:bottom w:val="none" w:sz="0" w:space="0" w:color="auto"/>
        <w:right w:val="none" w:sz="0" w:space="0" w:color="auto"/>
      </w:divBdr>
      <w:divsChild>
        <w:div w:id="257060726">
          <w:marLeft w:val="0"/>
          <w:marRight w:val="0"/>
          <w:marTop w:val="0"/>
          <w:marBottom w:val="0"/>
          <w:divBdr>
            <w:top w:val="none" w:sz="0" w:space="0" w:color="C4DEEE"/>
            <w:left w:val="none" w:sz="0" w:space="0" w:color="C4DEEE"/>
            <w:bottom w:val="none" w:sz="0" w:space="0" w:color="C4DEEE"/>
            <w:right w:val="none" w:sz="0" w:space="0" w:color="C4DEEE"/>
          </w:divBdr>
          <w:divsChild>
            <w:div w:id="2042437905">
              <w:marLeft w:val="0"/>
              <w:marRight w:val="0"/>
              <w:marTop w:val="0"/>
              <w:marBottom w:val="0"/>
              <w:divBdr>
                <w:top w:val="none" w:sz="0" w:space="0" w:color="C4DEEE"/>
                <w:left w:val="none" w:sz="0" w:space="0" w:color="C4DEEE"/>
                <w:bottom w:val="none" w:sz="0" w:space="0" w:color="C4DEEE"/>
                <w:right w:val="none" w:sz="0" w:space="0" w:color="C4DEEE"/>
              </w:divBdr>
            </w:div>
          </w:divsChild>
        </w:div>
        <w:div w:id="534736858">
          <w:marLeft w:val="0"/>
          <w:marRight w:val="0"/>
          <w:marTop w:val="0"/>
          <w:marBottom w:val="0"/>
          <w:divBdr>
            <w:top w:val="none" w:sz="0" w:space="2" w:color="C4DEEE"/>
            <w:left w:val="none" w:sz="0" w:space="15" w:color="C4DEEE"/>
            <w:bottom w:val="none" w:sz="0" w:space="2" w:color="C4DEEE"/>
            <w:right w:val="none" w:sz="0" w:space="2" w:color="C4DEEE"/>
          </w:divBdr>
        </w:div>
        <w:div w:id="340931055">
          <w:marLeft w:val="0"/>
          <w:marRight w:val="0"/>
          <w:marTop w:val="0"/>
          <w:marBottom w:val="0"/>
          <w:divBdr>
            <w:top w:val="none" w:sz="0" w:space="0" w:color="C4DEEE"/>
            <w:left w:val="none" w:sz="0" w:space="0" w:color="C4DEEE"/>
            <w:bottom w:val="none" w:sz="0" w:space="0" w:color="C4DEEE"/>
            <w:right w:val="none" w:sz="0" w:space="0" w:color="C4DEEE"/>
          </w:divBdr>
          <w:divsChild>
            <w:div w:id="1697197066">
              <w:marLeft w:val="0"/>
              <w:marRight w:val="0"/>
              <w:marTop w:val="0"/>
              <w:marBottom w:val="0"/>
              <w:divBdr>
                <w:top w:val="none" w:sz="0" w:space="0" w:color="C4DEEE"/>
                <w:left w:val="none" w:sz="0" w:space="0" w:color="C4DEEE"/>
                <w:bottom w:val="none" w:sz="0" w:space="0" w:color="C4DEEE"/>
                <w:right w:val="none" w:sz="0" w:space="0" w:color="C4DEEE"/>
              </w:divBdr>
            </w:div>
          </w:divsChild>
        </w:div>
        <w:div w:id="909729829">
          <w:marLeft w:val="0"/>
          <w:marRight w:val="0"/>
          <w:marTop w:val="0"/>
          <w:marBottom w:val="0"/>
          <w:divBdr>
            <w:top w:val="none" w:sz="0" w:space="2" w:color="C4DEEE"/>
            <w:left w:val="none" w:sz="0" w:space="15" w:color="C4DEEE"/>
            <w:bottom w:val="none" w:sz="0" w:space="2" w:color="C4DEEE"/>
            <w:right w:val="none" w:sz="0" w:space="2" w:color="C4DEEE"/>
          </w:divBdr>
        </w:div>
        <w:div w:id="1305740057">
          <w:marLeft w:val="0"/>
          <w:marRight w:val="0"/>
          <w:marTop w:val="0"/>
          <w:marBottom w:val="0"/>
          <w:divBdr>
            <w:top w:val="none" w:sz="0" w:space="0" w:color="C4DEEE"/>
            <w:left w:val="none" w:sz="0" w:space="0" w:color="C4DEEE"/>
            <w:bottom w:val="none" w:sz="0" w:space="0" w:color="C4DEEE"/>
            <w:right w:val="none" w:sz="0" w:space="0" w:color="C4DEEE"/>
          </w:divBdr>
          <w:divsChild>
            <w:div w:id="708454732">
              <w:marLeft w:val="0"/>
              <w:marRight w:val="0"/>
              <w:marTop w:val="0"/>
              <w:marBottom w:val="0"/>
              <w:divBdr>
                <w:top w:val="none" w:sz="0" w:space="0" w:color="C4DEEE"/>
                <w:left w:val="none" w:sz="0" w:space="0" w:color="C4DEEE"/>
                <w:bottom w:val="none" w:sz="0" w:space="0" w:color="C4DEEE"/>
                <w:right w:val="none" w:sz="0" w:space="0" w:color="C4DEEE"/>
              </w:divBdr>
            </w:div>
          </w:divsChild>
        </w:div>
        <w:div w:id="1373309920">
          <w:marLeft w:val="0"/>
          <w:marRight w:val="0"/>
          <w:marTop w:val="0"/>
          <w:marBottom w:val="0"/>
          <w:divBdr>
            <w:top w:val="none" w:sz="0" w:space="2" w:color="C4DEEE"/>
            <w:left w:val="none" w:sz="0" w:space="15" w:color="C4DEEE"/>
            <w:bottom w:val="none" w:sz="0" w:space="2" w:color="C4DEEE"/>
            <w:right w:val="none" w:sz="0" w:space="2" w:color="C4DEEE"/>
          </w:divBdr>
        </w:div>
        <w:div w:id="1237594331">
          <w:marLeft w:val="0"/>
          <w:marRight w:val="0"/>
          <w:marTop w:val="0"/>
          <w:marBottom w:val="0"/>
          <w:divBdr>
            <w:top w:val="none" w:sz="0" w:space="0" w:color="C4DEEE"/>
            <w:left w:val="none" w:sz="0" w:space="0" w:color="C4DEEE"/>
            <w:bottom w:val="none" w:sz="0" w:space="0" w:color="C4DEEE"/>
            <w:right w:val="none" w:sz="0" w:space="0" w:color="C4DEEE"/>
          </w:divBdr>
          <w:divsChild>
            <w:div w:id="1880512890">
              <w:marLeft w:val="0"/>
              <w:marRight w:val="0"/>
              <w:marTop w:val="0"/>
              <w:marBottom w:val="0"/>
              <w:divBdr>
                <w:top w:val="none" w:sz="0" w:space="0" w:color="C4DEEE"/>
                <w:left w:val="none" w:sz="0" w:space="0" w:color="C4DEEE"/>
                <w:bottom w:val="none" w:sz="0" w:space="0" w:color="C4DEEE"/>
                <w:right w:val="none" w:sz="0" w:space="0" w:color="C4DEEE"/>
              </w:divBdr>
            </w:div>
          </w:divsChild>
        </w:div>
        <w:div w:id="1247424083">
          <w:marLeft w:val="0"/>
          <w:marRight w:val="0"/>
          <w:marTop w:val="0"/>
          <w:marBottom w:val="0"/>
          <w:divBdr>
            <w:top w:val="none" w:sz="0" w:space="2" w:color="C4DEEE"/>
            <w:left w:val="none" w:sz="0" w:space="15" w:color="C4DEEE"/>
            <w:bottom w:val="none" w:sz="0" w:space="2" w:color="C4DEEE"/>
            <w:right w:val="none" w:sz="0" w:space="2" w:color="C4DEEE"/>
          </w:divBdr>
        </w:div>
        <w:div w:id="818962594">
          <w:marLeft w:val="0"/>
          <w:marRight w:val="0"/>
          <w:marTop w:val="0"/>
          <w:marBottom w:val="0"/>
          <w:divBdr>
            <w:top w:val="none" w:sz="0" w:space="0" w:color="C4DEEE"/>
            <w:left w:val="none" w:sz="0" w:space="0" w:color="C4DEEE"/>
            <w:bottom w:val="none" w:sz="0" w:space="0" w:color="C4DEEE"/>
            <w:right w:val="none" w:sz="0" w:space="0" w:color="C4DEEE"/>
          </w:divBdr>
          <w:divsChild>
            <w:div w:id="1335303358">
              <w:marLeft w:val="0"/>
              <w:marRight w:val="0"/>
              <w:marTop w:val="0"/>
              <w:marBottom w:val="0"/>
              <w:divBdr>
                <w:top w:val="none" w:sz="0" w:space="0" w:color="C4DEEE"/>
                <w:left w:val="none" w:sz="0" w:space="0" w:color="C4DEEE"/>
                <w:bottom w:val="none" w:sz="0" w:space="0" w:color="C4DEEE"/>
                <w:right w:val="none" w:sz="0" w:space="0" w:color="C4DEEE"/>
              </w:divBdr>
            </w:div>
          </w:divsChild>
        </w:div>
        <w:div w:id="1064521616">
          <w:marLeft w:val="0"/>
          <w:marRight w:val="0"/>
          <w:marTop w:val="0"/>
          <w:marBottom w:val="0"/>
          <w:divBdr>
            <w:top w:val="none" w:sz="0" w:space="2" w:color="C4DEEE"/>
            <w:left w:val="none" w:sz="0" w:space="15" w:color="C4DEEE"/>
            <w:bottom w:val="none" w:sz="0" w:space="2" w:color="C4DEEE"/>
            <w:right w:val="none" w:sz="0" w:space="2" w:color="C4DEEE"/>
          </w:divBdr>
        </w:div>
        <w:div w:id="1403723575">
          <w:marLeft w:val="0"/>
          <w:marRight w:val="0"/>
          <w:marTop w:val="0"/>
          <w:marBottom w:val="0"/>
          <w:divBdr>
            <w:top w:val="none" w:sz="0" w:space="0" w:color="C4DEEE"/>
            <w:left w:val="none" w:sz="0" w:space="0" w:color="C4DEEE"/>
            <w:bottom w:val="none" w:sz="0" w:space="0" w:color="C4DEEE"/>
            <w:right w:val="none" w:sz="0" w:space="0" w:color="C4DEEE"/>
          </w:divBdr>
          <w:divsChild>
            <w:div w:id="995492856">
              <w:marLeft w:val="0"/>
              <w:marRight w:val="0"/>
              <w:marTop w:val="0"/>
              <w:marBottom w:val="0"/>
              <w:divBdr>
                <w:top w:val="none" w:sz="0" w:space="0" w:color="C4DEEE"/>
                <w:left w:val="none" w:sz="0" w:space="0" w:color="C4DEEE"/>
                <w:bottom w:val="none" w:sz="0" w:space="0" w:color="C4DEEE"/>
                <w:right w:val="none" w:sz="0" w:space="0" w:color="C4DEEE"/>
              </w:divBdr>
            </w:div>
          </w:divsChild>
        </w:div>
        <w:div w:id="406803315">
          <w:marLeft w:val="0"/>
          <w:marRight w:val="0"/>
          <w:marTop w:val="0"/>
          <w:marBottom w:val="0"/>
          <w:divBdr>
            <w:top w:val="none" w:sz="0" w:space="2" w:color="C4DEEE"/>
            <w:left w:val="none" w:sz="0" w:space="15" w:color="C4DEEE"/>
            <w:bottom w:val="none" w:sz="0" w:space="2" w:color="C4DEEE"/>
            <w:right w:val="none" w:sz="0" w:space="2" w:color="C4DEEE"/>
          </w:divBdr>
        </w:div>
        <w:div w:id="1928802701">
          <w:marLeft w:val="0"/>
          <w:marRight w:val="0"/>
          <w:marTop w:val="0"/>
          <w:marBottom w:val="0"/>
          <w:divBdr>
            <w:top w:val="none" w:sz="0" w:space="0" w:color="C4DEEE"/>
            <w:left w:val="none" w:sz="0" w:space="0" w:color="C4DEEE"/>
            <w:bottom w:val="none" w:sz="0" w:space="0" w:color="C4DEEE"/>
            <w:right w:val="none" w:sz="0" w:space="0" w:color="C4DEEE"/>
          </w:divBdr>
          <w:divsChild>
            <w:div w:id="211505134">
              <w:marLeft w:val="0"/>
              <w:marRight w:val="0"/>
              <w:marTop w:val="0"/>
              <w:marBottom w:val="0"/>
              <w:divBdr>
                <w:top w:val="none" w:sz="0" w:space="0" w:color="C4DEEE"/>
                <w:left w:val="none" w:sz="0" w:space="0" w:color="C4DEEE"/>
                <w:bottom w:val="none" w:sz="0" w:space="0" w:color="C4DEEE"/>
                <w:right w:val="none" w:sz="0" w:space="0" w:color="C4DEEE"/>
              </w:divBdr>
            </w:div>
          </w:divsChild>
        </w:div>
        <w:div w:id="369501117">
          <w:marLeft w:val="0"/>
          <w:marRight w:val="0"/>
          <w:marTop w:val="0"/>
          <w:marBottom w:val="0"/>
          <w:divBdr>
            <w:top w:val="none" w:sz="0" w:space="2" w:color="C4DEEE"/>
            <w:left w:val="none" w:sz="0" w:space="15" w:color="C4DEEE"/>
            <w:bottom w:val="none" w:sz="0" w:space="2" w:color="C4DEEE"/>
            <w:right w:val="none" w:sz="0" w:space="2" w:color="C4DEEE"/>
          </w:divBdr>
        </w:div>
        <w:div w:id="353309290">
          <w:marLeft w:val="0"/>
          <w:marRight w:val="0"/>
          <w:marTop w:val="0"/>
          <w:marBottom w:val="0"/>
          <w:divBdr>
            <w:top w:val="none" w:sz="0" w:space="0" w:color="C4DEEE"/>
            <w:left w:val="none" w:sz="0" w:space="0" w:color="C4DEEE"/>
            <w:bottom w:val="none" w:sz="0" w:space="0" w:color="C4DEEE"/>
            <w:right w:val="none" w:sz="0" w:space="0" w:color="C4DEEE"/>
          </w:divBdr>
          <w:divsChild>
            <w:div w:id="886339066">
              <w:marLeft w:val="0"/>
              <w:marRight w:val="0"/>
              <w:marTop w:val="0"/>
              <w:marBottom w:val="0"/>
              <w:divBdr>
                <w:top w:val="none" w:sz="0" w:space="0" w:color="C4DEEE"/>
                <w:left w:val="none" w:sz="0" w:space="0" w:color="C4DEEE"/>
                <w:bottom w:val="none" w:sz="0" w:space="0" w:color="C4DEEE"/>
                <w:right w:val="none" w:sz="0" w:space="0" w:color="C4DEEE"/>
              </w:divBdr>
            </w:div>
          </w:divsChild>
        </w:div>
        <w:div w:id="1807619735">
          <w:marLeft w:val="0"/>
          <w:marRight w:val="0"/>
          <w:marTop w:val="0"/>
          <w:marBottom w:val="0"/>
          <w:divBdr>
            <w:top w:val="none" w:sz="0" w:space="2" w:color="C4DEEE"/>
            <w:left w:val="none" w:sz="0" w:space="15" w:color="C4DEEE"/>
            <w:bottom w:val="none" w:sz="0" w:space="2" w:color="C4DEEE"/>
            <w:right w:val="none" w:sz="0" w:space="2" w:color="C4DEEE"/>
          </w:divBdr>
        </w:div>
        <w:div w:id="1740589390">
          <w:marLeft w:val="0"/>
          <w:marRight w:val="0"/>
          <w:marTop w:val="0"/>
          <w:marBottom w:val="0"/>
          <w:divBdr>
            <w:top w:val="none" w:sz="0" w:space="0" w:color="C4DEEE"/>
            <w:left w:val="none" w:sz="0" w:space="0" w:color="C4DEEE"/>
            <w:bottom w:val="none" w:sz="0" w:space="0" w:color="C4DEEE"/>
            <w:right w:val="none" w:sz="0" w:space="0" w:color="C4DEEE"/>
          </w:divBdr>
          <w:divsChild>
            <w:div w:id="649286908">
              <w:marLeft w:val="0"/>
              <w:marRight w:val="0"/>
              <w:marTop w:val="0"/>
              <w:marBottom w:val="0"/>
              <w:divBdr>
                <w:top w:val="none" w:sz="0" w:space="0" w:color="C4DEEE"/>
                <w:left w:val="none" w:sz="0" w:space="0" w:color="C4DEEE"/>
                <w:bottom w:val="none" w:sz="0" w:space="0" w:color="C4DEEE"/>
                <w:right w:val="none" w:sz="0" w:space="0" w:color="C4DEEE"/>
              </w:divBdr>
            </w:div>
          </w:divsChild>
        </w:div>
        <w:div w:id="1517425958">
          <w:marLeft w:val="0"/>
          <w:marRight w:val="0"/>
          <w:marTop w:val="0"/>
          <w:marBottom w:val="0"/>
          <w:divBdr>
            <w:top w:val="none" w:sz="0" w:space="2" w:color="C4DEEE"/>
            <w:left w:val="none" w:sz="0" w:space="15" w:color="C4DEEE"/>
            <w:bottom w:val="none" w:sz="0" w:space="2" w:color="C4DEEE"/>
            <w:right w:val="none" w:sz="0" w:space="2" w:color="C4DEEE"/>
          </w:divBdr>
        </w:div>
        <w:div w:id="1357778359">
          <w:marLeft w:val="0"/>
          <w:marRight w:val="0"/>
          <w:marTop w:val="0"/>
          <w:marBottom w:val="0"/>
          <w:divBdr>
            <w:top w:val="none" w:sz="0" w:space="0" w:color="C4DEEE"/>
            <w:left w:val="none" w:sz="0" w:space="0" w:color="C4DEEE"/>
            <w:bottom w:val="none" w:sz="0" w:space="0" w:color="C4DEEE"/>
            <w:right w:val="none" w:sz="0" w:space="0" w:color="C4DEEE"/>
          </w:divBdr>
          <w:divsChild>
            <w:div w:id="1207256448">
              <w:marLeft w:val="0"/>
              <w:marRight w:val="0"/>
              <w:marTop w:val="0"/>
              <w:marBottom w:val="0"/>
              <w:divBdr>
                <w:top w:val="none" w:sz="0" w:space="0" w:color="C4DEEE"/>
                <w:left w:val="none" w:sz="0" w:space="0" w:color="C4DEEE"/>
                <w:bottom w:val="none" w:sz="0" w:space="0" w:color="C4DEEE"/>
                <w:right w:val="none" w:sz="0" w:space="0" w:color="C4DEEE"/>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22</Pages>
  <Words>7565</Words>
  <Characters>43124</Characters>
  <Application>Microsoft Office Word</Application>
  <DocSecurity>0</DocSecurity>
  <Lines>359</Lines>
  <Paragraphs>101</Paragraphs>
  <ScaleCrop>false</ScaleCrop>
  <Company/>
  <LinksUpToDate>false</LinksUpToDate>
  <CharactersWithSpaces>50588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Kao</dc:creator>
  <cp:keywords/>
  <dc:description/>
  <cp:lastModifiedBy>Jeff Kao</cp:lastModifiedBy>
  <cp:revision>2</cp:revision>
  <dcterms:created xsi:type="dcterms:W3CDTF">2019-07-08T10:26:00Z</dcterms:created>
  <dcterms:modified xsi:type="dcterms:W3CDTF">2019-07-08T10:37:00Z</dcterms:modified>
</cp:coreProperties>
</file>